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57</w:t>
      </w:r>
      <w:r>
        <w:rPr>
          <w:rFonts w:cs="Arial"/>
          <w:bCs/>
          <w:sz w:val="20"/>
        </w:rPr>
        <w:t>/PMF/2020</w:t>
      </w:r>
    </w:p>
    <w:p>
      <w:pPr>
        <w:spacing w:line="240" w:lineRule="exact"/>
        <w:jc w:val="center"/>
        <w:rPr>
          <w:rFonts w:ascii="Arial" w:hAnsi="Arial" w:cs="Arial"/>
          <w:b/>
        </w:rPr>
      </w:pPr>
      <w:r>
        <w:rPr>
          <w:rFonts w:ascii="Arial" w:hAnsi="Arial" w:cs="Arial"/>
          <w:b/>
        </w:rPr>
        <w:t>(Referente Pregão Presencial nº. 104/PMF/2020)</w:t>
      </w:r>
    </w:p>
    <w:p>
      <w:pPr>
        <w:pStyle w:val="normal0"/>
        <w:spacing w:line="260" w:lineRule="exact"/>
        <w:rPr>
          <w:rFonts w:cs="Arial"/>
          <w:bCs/>
          <w:sz w:val="20"/>
        </w:rPr>
      </w:pPr>
    </w:p>
    <w:p>
      <w:pPr>
        <w:pStyle w:val="normal0"/>
        <w:rPr>
          <w:rFonts w:cs="Arial"/>
          <w:sz w:val="20"/>
        </w:rPr>
      </w:pPr>
      <w:r>
        <w:rPr>
          <w:rFonts w:cs="Arial"/>
          <w:sz w:val="20"/>
        </w:rPr>
        <w:t>A PREFEITURA MUNICIPAL DE FORQUILHINHA, com sede na Avenida 25 de julho, 3.400, Paço Municipal 26 de Abril, Forquilhinha/SC, inscrita no CNPJ nº. 81.531.162/0001-58, neste ato representado pelo Sr. DIMAS KAMMER, Prefeito Municipal, portador d</w:t>
      </w:r>
      <w:r>
        <w:rPr>
          <w:rFonts w:cs="Arial"/>
          <w:sz w:val="20"/>
        </w:rPr>
        <w:t>a Cédula de Identidade n° 1.328.011</w:t>
      </w:r>
      <w:r>
        <w:rPr>
          <w:rFonts w:cs="Arial"/>
          <w:sz w:val="20"/>
        </w:rPr>
        <w:t>,</w:t>
      </w:r>
      <w:r>
        <w:rPr>
          <w:rFonts w:cs="Arial"/>
          <w:sz w:val="20"/>
        </w:rPr>
        <w:t xml:space="preserve"> e inscrito no CPF sob o n° 500.962.909-78</w:t>
      </w:r>
      <w:r>
        <w:rPr>
          <w:rFonts w:cs="Arial"/>
          <w:sz w:val="20"/>
        </w:rPr>
        <w:t>, ora denominado</w:t>
      </w:r>
      <w:r>
        <w:rPr>
          <w:rFonts w:cs="Arial"/>
          <w:b/>
          <w:sz w:val="20"/>
        </w:rPr>
        <w:t xml:space="preserve"> ÓRGÃO GERENCIADOR </w:t>
      </w:r>
      <w:r>
        <w:rPr>
          <w:rFonts w:cs="Arial"/>
          <w:sz w:val="20"/>
        </w:rPr>
        <w:t xml:space="preserve">e a empresa </w:t>
      </w:r>
      <w:r>
        <w:rPr>
          <w:rFonts w:cs="Arial"/>
          <w:sz w:val="20"/>
        </w:rPr>
        <w:t>SILVESTRE GÁS E TRANSPORTES LTDA</w:t>
      </w:r>
      <w:r>
        <w:rPr>
          <w:rFonts w:cs="Arial"/>
          <w:sz w:val="20"/>
        </w:rPr>
        <w:t xml:space="preserve"> inscrita no CNPJ nº. </w:t>
      </w:r>
      <w:r>
        <w:rPr>
          <w:rFonts w:cs="Arial"/>
          <w:sz w:val="20"/>
        </w:rPr>
        <w:t>05.355.601/0001-30</w:t>
      </w:r>
      <w:r>
        <w:rPr>
          <w:rFonts w:cs="Arial"/>
          <w:sz w:val="20"/>
        </w:rPr>
        <w:t xml:space="preserve"> estabelecida na </w:t>
      </w:r>
      <w:r>
        <w:rPr>
          <w:rFonts w:cs="Arial"/>
          <w:sz w:val="20"/>
        </w:rPr>
        <w:t>Rodovia Gabriel Arns, 4094, Vila Franca, em Forquilhinha/SC</w:t>
      </w:r>
      <w:r>
        <w:rPr>
          <w:rFonts w:cs="Arial"/>
          <w:sz w:val="20"/>
        </w:rPr>
        <w:t xml:space="preserve">, neste ato representada pelo Sr. </w:t>
      </w:r>
      <w:proofErr w:type="spellStart"/>
      <w:r>
        <w:rPr>
          <w:rFonts w:cs="Arial"/>
          <w:sz w:val="20"/>
        </w:rPr>
        <w:t>Ledio</w:t>
      </w:r>
      <w:proofErr w:type="spellEnd"/>
      <w:r>
        <w:rPr>
          <w:rFonts w:cs="Arial"/>
          <w:sz w:val="20"/>
        </w:rPr>
        <w:t xml:space="preserve"> da Silva, brasileiro, CI 3597279, CPF 780.244.639-20</w:t>
      </w:r>
      <w:r>
        <w:rPr>
          <w:rFonts w:cs="Arial"/>
          <w:sz w:val="20"/>
        </w:rPr>
        <w:t xml:space="preserve">, doravante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Presencial nº. 104/PMF/2020,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spacing w:line="220" w:lineRule="exact"/>
        <w:jc w:val="both"/>
        <w:rPr>
          <w:rFonts w:ascii="Arial" w:hAnsi="Arial" w:cs="Arial"/>
          <w:b/>
        </w:rPr>
      </w:pPr>
      <w:r>
        <w:rPr>
          <w:rFonts w:ascii="Arial" w:hAnsi="Arial" w:cs="Arial"/>
          <w:b/>
        </w:rPr>
        <w:t xml:space="preserve">Cláusula Primeira – Do Objeto </w:t>
      </w:r>
    </w:p>
    <w:p>
      <w:pPr>
        <w:tabs>
          <w:tab w:val="left" w:pos="3240"/>
        </w:tabs>
        <w:spacing w:line="220" w:lineRule="exact"/>
        <w:jc w:val="both"/>
        <w:rPr>
          <w:rFonts w:ascii="Arial" w:hAnsi="Arial" w:cs="Arial"/>
        </w:rPr>
      </w:pPr>
    </w:p>
    <w:p>
      <w:pPr>
        <w:tabs>
          <w:tab w:val="left" w:pos="3240"/>
        </w:tabs>
        <w:spacing w:line="220" w:lineRule="exact"/>
        <w:jc w:val="both"/>
        <w:rPr>
          <w:rFonts w:ascii="Arial" w:hAnsi="Arial" w:cs="Arial"/>
        </w:rPr>
      </w:pPr>
      <w:r>
        <w:rPr>
          <w:rFonts w:ascii="Arial" w:hAnsi="Arial" w:cs="Arial"/>
          <w:b/>
        </w:rPr>
        <w:t xml:space="preserve">1. </w:t>
      </w:r>
      <w:r>
        <w:rPr>
          <w:rFonts w:ascii="Arial" w:hAnsi="Arial" w:cs="Arial"/>
        </w:rPr>
        <w:t xml:space="preserve">A presente ATA tem por objetivo estabelecer cláusulas e condições gerais para REGISTRAR PREÇO </w:t>
      </w:r>
      <w:r>
        <w:rPr>
          <w:rFonts w:ascii="Arial" w:hAnsi="Arial" w:cs="Arial"/>
          <w:shd w:val="clear" w:color="auto" w:fill="F9F9F9"/>
        </w:rPr>
        <w:t xml:space="preserve">para a aquisição de gás de cozinha, a fim de atender as necessidades de diversas secretarias do Município de Forquilhinha/SC, </w:t>
      </w:r>
      <w:r>
        <w:rPr>
          <w:rFonts w:ascii="Arial" w:hAnsi="Arial" w:cs="Arial"/>
        </w:rPr>
        <w:t>para futuras aquisições.</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Segunda – Dos preços Registrados</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40" w:lineRule="exact"/>
        <w:jc w:val="both"/>
        <w:rPr>
          <w:rFonts w:ascii="Arial" w:hAnsi="Arial" w:cs="Arial"/>
          <w:bCs/>
        </w:rPr>
      </w:pPr>
      <w:r>
        <w:rPr>
          <w:rFonts w:ascii="Arial" w:hAnsi="Arial" w:cs="Arial"/>
          <w:b/>
        </w:rPr>
        <w:t>1.1.</w:t>
      </w:r>
      <w:r>
        <w:rPr>
          <w:rFonts w:ascii="Arial" w:hAnsi="Arial" w:cs="Arial"/>
        </w:rPr>
        <w:t xml:space="preserve"> </w:t>
      </w:r>
      <w:r>
        <w:rPr>
          <w:rFonts w:ascii="Arial" w:hAnsi="Arial" w:cs="Arial"/>
          <w:bCs/>
        </w:rPr>
        <w:t>A entrega do objeto é de responsabilidade da licitante e deverá ser realizada em todos os espaços da secretaria municipal de saúde, incluindo postos de saúde e outros espaços que forem necessários no perímetro municipal.</w:t>
      </w:r>
    </w:p>
    <w:p>
      <w:pPr>
        <w:spacing w:line="240" w:lineRule="exact"/>
        <w:jc w:val="both"/>
        <w:rPr>
          <w:rFonts w:ascii="Arial" w:hAnsi="Arial" w:cs="Arial"/>
        </w:rPr>
      </w:pPr>
      <w:r>
        <w:rPr>
          <w:rFonts w:ascii="Arial" w:hAnsi="Arial" w:cs="Arial"/>
          <w:b/>
          <w:bCs/>
        </w:rPr>
        <w:t xml:space="preserve">1.2. </w:t>
      </w:r>
      <w:r>
        <w:rPr>
          <w:rFonts w:ascii="Arial" w:hAnsi="Arial" w:cs="Arial"/>
          <w:bCs/>
        </w:rPr>
        <w:t>Para cada entrega não haverá quantidade mínima, o quantitativo solicitado será de acordo com a demanda do município.</w:t>
      </w:r>
    </w:p>
    <w:p>
      <w:pPr>
        <w:pStyle w:val="normal0"/>
        <w:rPr>
          <w:rFonts w:cs="Arial"/>
          <w:sz w:val="20"/>
        </w:rPr>
      </w:pPr>
      <w:r>
        <w:rPr>
          <w:rFonts w:cs="Arial"/>
          <w:b/>
          <w:sz w:val="20"/>
        </w:rPr>
        <w:t>1.3.</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t xml:space="preserve">1.3. </w:t>
      </w:r>
      <w:r>
        <w:rPr>
          <w:rFonts w:ascii="Arial" w:hAnsi="Arial" w:cs="Arial"/>
        </w:rPr>
        <w:t>O prazo de entrega a ser exigido nas requisições será de no máximo 48 (quarenta e oito) horas a partir da data de recebimento das mesmas.</w:t>
      </w:r>
    </w:p>
    <w:p>
      <w:pPr>
        <w:spacing w:line="220" w:lineRule="exact"/>
        <w:jc w:val="both"/>
        <w:rPr>
          <w:rFonts w:ascii="Arial" w:hAnsi="Arial" w:cs="Arial"/>
        </w:rPr>
      </w:pPr>
      <w:r>
        <w:rPr>
          <w:rFonts w:ascii="Arial" w:hAnsi="Arial" w:cs="Arial"/>
          <w:b/>
        </w:rPr>
        <w:t>1.4.</w:t>
      </w:r>
      <w:r>
        <w:rPr>
          <w:rFonts w:ascii="Arial" w:hAnsi="Arial" w:cs="Arial"/>
        </w:rPr>
        <w:t xml:space="preserve"> Os produtos serão transportados por conta e risco da licitante fornecedora, dentro das normas técnicas de transporte e segurança exigidas na forma da Lei vigente.</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03 (três) dias, a partir da notificação da não aceitação.</w:t>
      </w:r>
    </w:p>
    <w:p>
      <w:pPr>
        <w:jc w:val="both"/>
        <w:rPr>
          <w:rFonts w:ascii="Arial" w:hAnsi="Arial" w:cs="Arial"/>
          <w:b/>
        </w:rPr>
      </w:pPr>
    </w:p>
    <w:p>
      <w:pPr>
        <w:jc w:val="both"/>
        <w:rPr>
          <w:rFonts w:ascii="Arial" w:hAnsi="Arial" w:cs="Arial"/>
        </w:rPr>
      </w:pPr>
      <w:r>
        <w:rPr>
          <w:rFonts w:ascii="Arial" w:hAnsi="Arial" w:cs="Arial"/>
          <w:b/>
        </w:rPr>
        <w:lastRenderedPageBreak/>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rPr>
      </w:pPr>
    </w:p>
    <w:p>
      <w:pPr>
        <w:jc w:val="both"/>
        <w:rPr>
          <w:rFonts w:ascii="Arial" w:hAnsi="Arial" w:cs="Arial"/>
        </w:rPr>
      </w:pPr>
      <w:r>
        <w:rPr>
          <w:rFonts w:ascii="Arial" w:hAnsi="Arial" w:cs="Arial"/>
          <w:b/>
        </w:rPr>
        <w:t>3.</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bookmarkStart w:id="0" w:name="_GoBack"/>
      <w:r>
        <w:rPr>
          <w:rFonts w:ascii="Arial" w:hAnsi="Arial" w:cs="Arial"/>
          <w:b/>
        </w:rPr>
        <w:t>Cláusula Oitava – Das Penalidades e Sanções Administrativas</w:t>
      </w:r>
    </w:p>
    <w:bookmarkEnd w:id="0"/>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terceira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r>
        <w:rPr>
          <w:rFonts w:ascii="Arial" w:hAnsi="Arial" w:cs="Arial"/>
          <w:b/>
          <w:bCs/>
        </w:rPr>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O Sr. Guilherme </w:t>
      </w:r>
      <w:proofErr w:type="spellStart"/>
      <w:r>
        <w:rPr>
          <w:rFonts w:ascii="Arial" w:hAnsi="Arial" w:cs="Arial"/>
        </w:rPr>
        <w:t>Danielski</w:t>
      </w:r>
      <w:proofErr w:type="spellEnd"/>
      <w:r>
        <w:rPr>
          <w:rFonts w:ascii="Arial" w:hAnsi="Arial" w:cs="Arial"/>
        </w:rPr>
        <w:t xml:space="preserve"> e a Sra. Morgana </w:t>
      </w:r>
      <w:proofErr w:type="spellStart"/>
      <w:r>
        <w:rPr>
          <w:rFonts w:ascii="Arial" w:hAnsi="Arial" w:cs="Arial"/>
        </w:rPr>
        <w:t>Tomazi</w:t>
      </w:r>
      <w:proofErr w:type="spellEnd"/>
      <w:r>
        <w:rPr>
          <w:rFonts w:ascii="Arial" w:hAnsi="Arial" w:cs="Arial"/>
        </w:rPr>
        <w:t xml:space="preserve"> </w:t>
      </w:r>
      <w:proofErr w:type="spellStart"/>
      <w:r>
        <w:rPr>
          <w:rFonts w:ascii="Arial" w:hAnsi="Arial" w:cs="Arial"/>
        </w:rPr>
        <w:t>Minatto</w:t>
      </w:r>
      <w:proofErr w:type="spellEnd"/>
      <w:r>
        <w:rPr>
          <w:rFonts w:ascii="Arial" w:hAnsi="Arial" w:cs="Arial"/>
        </w:rPr>
        <w:t>, serão os Fiscais desta Ata, sendo deles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O Sra. Maria Terezinha de Aguiar Costa </w:t>
      </w:r>
      <w:proofErr w:type="spellStart"/>
      <w:r>
        <w:rPr>
          <w:rFonts w:ascii="Arial" w:hAnsi="Arial" w:cs="Arial"/>
        </w:rPr>
        <w:t>Scaini</w:t>
      </w:r>
      <w:proofErr w:type="spellEnd"/>
      <w:r>
        <w:rPr>
          <w:rFonts w:ascii="Arial" w:hAnsi="Arial" w:cs="Arial"/>
        </w:rPr>
        <w:t xml:space="preserve">, Secretária Adjunta da Saúde e a Sra. Sonia Regina Silveira Gonçalves, Secretária de Educação serão as Gestoras desta Ata, sendo delas a responsabilidade de </w:t>
      </w:r>
      <w:r>
        <w:rPr>
          <w:rFonts w:ascii="Arial" w:hAnsi="Arial" w:cs="Arial"/>
          <w:lang w:eastAsia="en-US"/>
        </w:rPr>
        <w:t>acionar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Presencial nº. </w:t>
      </w:r>
      <w:r>
        <w:rPr>
          <w:rFonts w:ascii="Arial" w:hAnsi="Arial" w:cs="Arial"/>
          <w:b/>
          <w:bCs/>
        </w:rPr>
        <w:t>104/PMF/2020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rPr>
          <w:rFonts w:ascii="Arial" w:hAnsi="Arial" w:cs="Arial"/>
          <w:b/>
        </w:rPr>
      </w:pP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17 de setembro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SILVESTRE GÁS E TRANSPORTES LTDA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 xml:space="preserve">Representante Legal: </w:t>
            </w:r>
            <w:proofErr w:type="spellStart"/>
            <w:r>
              <w:rPr>
                <w:rFonts w:ascii="Arial" w:hAnsi="Arial" w:cs="Arial"/>
              </w:rPr>
              <w:t>Ledio</w:t>
            </w:r>
            <w:proofErr w:type="spellEnd"/>
            <w:r>
              <w:rPr>
                <w:rFonts w:ascii="Arial" w:hAnsi="Arial" w:cs="Arial"/>
              </w:rPr>
              <w:t xml:space="preserve"> da Silva</w:t>
            </w:r>
          </w:p>
        </w:tc>
      </w:tr>
      <w:tr>
        <w:trPr>
          <w:trHeight w:val="703"/>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 xml:space="preserve">Morgana </w:t>
            </w:r>
            <w:proofErr w:type="spellStart"/>
            <w:r>
              <w:rPr>
                <w:rFonts w:ascii="Arial" w:hAnsi="Arial" w:cs="Arial"/>
              </w:rPr>
              <w:t>Tomazi</w:t>
            </w:r>
            <w:proofErr w:type="spellEnd"/>
            <w:r>
              <w:rPr>
                <w:rFonts w:ascii="Arial" w:hAnsi="Arial" w:cs="Arial"/>
              </w:rPr>
              <w:t xml:space="preserve"> </w:t>
            </w:r>
            <w:proofErr w:type="spellStart"/>
            <w:r>
              <w:rPr>
                <w:rFonts w:ascii="Arial" w:hAnsi="Arial" w:cs="Arial"/>
              </w:rPr>
              <w:t>Minatto</w:t>
            </w:r>
            <w:proofErr w:type="spellEnd"/>
          </w:p>
          <w:p>
            <w:pPr>
              <w:spacing w:line="220" w:lineRule="exact"/>
              <w:jc w:val="center"/>
              <w:rPr>
                <w:rFonts w:ascii="Arial" w:hAnsi="Arial" w:cs="Arial"/>
              </w:rPr>
            </w:pPr>
            <w:r>
              <w:rPr>
                <w:rFonts w:ascii="Arial" w:hAnsi="Arial" w:cs="Arial"/>
              </w:rPr>
              <w:t>Fiscal da Ata</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 xml:space="preserve">Guilherme </w:t>
            </w:r>
            <w:proofErr w:type="spellStart"/>
            <w:r>
              <w:rPr>
                <w:rFonts w:ascii="Arial" w:hAnsi="Arial" w:cs="Arial"/>
              </w:rPr>
              <w:t>Danielski</w:t>
            </w:r>
            <w:proofErr w:type="spellEnd"/>
          </w:p>
        </w:tc>
      </w:tr>
      <w:tr>
        <w:trPr>
          <w:trHeight w:val="80"/>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r>
        <w:rPr>
          <w:rFonts w:ascii="Arial" w:hAnsi="Arial" w:cs="Arial"/>
        </w:rPr>
        <w:br w:type="page"/>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94CD6D35-7991-47CE-9452-00E56F71B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Textodebalo">
    <w:name w:val="Balloon Text"/>
    <w:basedOn w:val="Normal"/>
    <w:link w:val="TextodebaloChar"/>
    <w:uiPriority w:val="99"/>
    <w:semiHidden/>
    <w:unhideWhenUsed/>
    <w:rPr>
      <w:rFonts w:ascii="Segoe UI" w:hAnsi="Segoe UI" w:cs="Segoe UI"/>
      <w:sz w:val="18"/>
      <w:szCs w:val="18"/>
    </w:rPr>
  </w:style>
  <w:style w:type="character" w:customStyle="1" w:styleId="TextodebaloChar">
    <w:name w:val="Texto de balão Char"/>
    <w:basedOn w:val="Fontepargpadro"/>
    <w:link w:val="Textodebalo"/>
    <w:uiPriority w:val="99"/>
    <w:semiHidden/>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2242</Words>
  <Characters>12110</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cp:lastPrinted>2020-09-17T11:04:00Z</cp:lastPrinted>
  <dcterms:created xsi:type="dcterms:W3CDTF">2020-09-17T10:59:00Z</dcterms:created>
  <dcterms:modified xsi:type="dcterms:W3CDTF">2020-09-17T11:05:00Z</dcterms:modified>
</cp:coreProperties>
</file>