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bCs/>
        </w:rPr>
      </w:pPr>
      <w:r>
        <w:rPr>
          <w:rFonts w:ascii="Arial" w:hAnsi="Arial" w:cs="Arial"/>
          <w:b/>
          <w:bCs/>
        </w:rPr>
        <w:t xml:space="preserve"> </w:t>
      </w:r>
    </w:p>
    <w:p>
      <w:pPr>
        <w:rPr>
          <w:rFonts w:ascii="Arial" w:hAnsi="Arial" w:cs="Arial"/>
        </w:rPr>
      </w:pPr>
    </w:p>
    <w:tbl>
      <w:tblPr>
        <w:tblW w:w="0" w:type="auto"/>
        <w:tblCellMar>
          <w:left w:w="0" w:type="dxa"/>
          <w:right w:w="0" w:type="dxa"/>
        </w:tblCellMar>
        <w:tblLook w:val="04A0" w:firstRow="1" w:lastRow="0" w:firstColumn="1" w:lastColumn="0" w:noHBand="0" w:noVBand="1"/>
      </w:tblPr>
      <w:tblGrid>
        <w:gridCol w:w="1522"/>
        <w:gridCol w:w="6982"/>
      </w:tblGrid>
      <w:tr>
        <w:trPr>
          <w:trHeight w:val="1255"/>
        </w:trPr>
        <w:tc>
          <w:tcPr>
            <w:tcW w:w="1525" w:type="dxa"/>
            <w:tcMar>
              <w:top w:w="0" w:type="dxa"/>
              <w:left w:w="108" w:type="dxa"/>
              <w:bottom w:w="0" w:type="dxa"/>
              <w:right w:w="108" w:type="dxa"/>
            </w:tcMar>
            <w:hideMark/>
          </w:tcPr>
          <w:p>
            <w:pPr>
              <w:spacing w:line="240" w:lineRule="exact"/>
              <w:jc w:val="both"/>
              <w:rPr>
                <w:rFonts w:ascii="Arial" w:hAnsi="Arial" w:cs="Arial"/>
                <w:b/>
                <w:bCs/>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905" w:type="dxa"/>
            <w:tcMar>
              <w:top w:w="0" w:type="dxa"/>
              <w:left w:w="108" w:type="dxa"/>
              <w:bottom w:w="0" w:type="dxa"/>
              <w:right w:w="108" w:type="dxa"/>
            </w:tcMar>
          </w:tcPr>
          <w:p>
            <w:pPr>
              <w:spacing w:line="240" w:lineRule="exact"/>
              <w:jc w:val="both"/>
              <w:rPr>
                <w:rFonts w:ascii="Arial" w:hAnsi="Arial" w:cs="Arial"/>
              </w:rPr>
            </w:pPr>
          </w:p>
          <w:p>
            <w:pPr>
              <w:spacing w:line="240" w:lineRule="exact"/>
              <w:jc w:val="both"/>
              <w:rPr>
                <w:rFonts w:ascii="Arial" w:hAnsi="Arial" w:cs="Arial"/>
              </w:rPr>
            </w:pPr>
            <w:r>
              <w:rPr>
                <w:rFonts w:ascii="Arial" w:hAnsi="Arial" w:cs="Arial"/>
              </w:rPr>
              <w:t>ESTADO DE SANTA CATARINA</w:t>
            </w:r>
          </w:p>
          <w:p>
            <w:pPr>
              <w:spacing w:line="240" w:lineRule="exact"/>
              <w:jc w:val="both"/>
              <w:rPr>
                <w:rFonts w:ascii="Arial" w:hAnsi="Arial" w:cs="Arial"/>
                <w:b/>
                <w:bCs/>
              </w:rPr>
            </w:pPr>
            <w:r>
              <w:rPr>
                <w:rFonts w:ascii="Arial" w:hAnsi="Arial" w:cs="Arial"/>
                <w:b/>
                <w:bCs/>
              </w:rPr>
              <w:t>GOVERNO DO MUNICÍPIO DE FORQUILHINHA</w:t>
            </w:r>
          </w:p>
          <w:p>
            <w:pPr>
              <w:spacing w:line="240" w:lineRule="exact"/>
              <w:jc w:val="both"/>
              <w:rPr>
                <w:rFonts w:ascii="Arial" w:hAnsi="Arial" w:cs="Arial"/>
                <w:b/>
                <w:bCs/>
              </w:rPr>
            </w:pPr>
          </w:p>
        </w:tc>
      </w:tr>
    </w:tbl>
    <w:p>
      <w:pPr>
        <w:pStyle w:val="Ttulo2"/>
        <w:spacing w:line="240" w:lineRule="exact"/>
        <w:ind w:right="0"/>
        <w:jc w:val="center"/>
        <w:rPr>
          <w:rFonts w:cs="Arial"/>
          <w:bCs/>
          <w:sz w:val="20"/>
        </w:rPr>
      </w:pPr>
      <w:r>
        <w:rPr>
          <w:rFonts w:cs="Arial"/>
          <w:sz w:val="20"/>
        </w:rPr>
        <w:t>ATA DE REGISTRO DE PREÇOS Nº. 15/PMF/2020</w:t>
      </w:r>
    </w:p>
    <w:p>
      <w:pPr>
        <w:spacing w:line="240" w:lineRule="exact"/>
        <w:jc w:val="center"/>
        <w:rPr>
          <w:rFonts w:ascii="Arial" w:eastAsia="Calibri" w:hAnsi="Arial" w:cs="Arial"/>
          <w:b/>
          <w:bCs/>
        </w:rPr>
      </w:pPr>
      <w:r>
        <w:rPr>
          <w:rFonts w:ascii="Arial" w:hAnsi="Arial" w:cs="Arial"/>
          <w:b/>
          <w:bCs/>
        </w:rPr>
        <w:t>(Referente Pregão Presencial nº. 30/PMF/2020)</w:t>
      </w:r>
    </w:p>
    <w:p>
      <w:pPr>
        <w:pStyle w:val="Normal1"/>
        <w:spacing w:line="260" w:lineRule="exact"/>
        <w:rPr>
          <w:rFonts w:cs="Arial"/>
          <w:sz w:val="20"/>
        </w:rPr>
      </w:pPr>
    </w:p>
    <w:p>
      <w:pPr>
        <w:pStyle w:val="Normal1"/>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da Cédula de Identidade n° 1.328.011, e inscrito no CPF sob o n° 500.962.909-78, ora denominado</w:t>
      </w:r>
      <w:r>
        <w:rPr>
          <w:rFonts w:cs="Arial"/>
          <w:b/>
          <w:bCs/>
          <w:sz w:val="20"/>
        </w:rPr>
        <w:t xml:space="preserve"> ÓRGÃO GERENCIADOR </w:t>
      </w:r>
      <w:r>
        <w:rPr>
          <w:rFonts w:cs="Arial"/>
          <w:sz w:val="20"/>
        </w:rPr>
        <w:t>e as empresas:</w:t>
      </w:r>
    </w:p>
    <w:p>
      <w:pPr>
        <w:pStyle w:val="Normal1"/>
        <w:rPr>
          <w:rFonts w:cs="Arial"/>
          <w:sz w:val="20"/>
        </w:rPr>
      </w:pPr>
    </w:p>
    <w:p>
      <w:pPr>
        <w:pStyle w:val="Normal1"/>
        <w:numPr>
          <w:ilvl w:val="0"/>
          <w:numId w:val="2"/>
        </w:numPr>
        <w:rPr>
          <w:rFonts w:cs="Arial"/>
          <w:sz w:val="20"/>
        </w:rPr>
      </w:pPr>
      <w:r>
        <w:rPr>
          <w:rFonts w:cs="Arial"/>
          <w:sz w:val="20"/>
        </w:rPr>
        <w:t>LIGA ATLÉTICA DA REGIÃO MINEIRA inscrita no CNPJ nº. 82.839.747/0001-00 estabelecida na Rua Henrique Chenaud,195, Comerciário em Criciúma/SC, neste ato representada pelo Sr. Guilherme dos Santos Gomes, brasileiro, CI 3.017.556, CPF 910.299.029-68,</w:t>
      </w:r>
    </w:p>
    <w:p>
      <w:pPr>
        <w:pStyle w:val="Normal1"/>
        <w:ind w:left="720"/>
        <w:rPr>
          <w:rFonts w:cs="Arial"/>
          <w:sz w:val="20"/>
        </w:rPr>
      </w:pPr>
    </w:p>
    <w:p>
      <w:pPr>
        <w:pStyle w:val="Normal1"/>
        <w:numPr>
          <w:ilvl w:val="0"/>
          <w:numId w:val="2"/>
        </w:numPr>
        <w:rPr>
          <w:rFonts w:cs="Arial"/>
          <w:sz w:val="20"/>
        </w:rPr>
      </w:pPr>
      <w:r>
        <w:rPr>
          <w:rFonts w:cs="Arial"/>
          <w:sz w:val="20"/>
        </w:rPr>
        <w:t xml:space="preserve">LIGA ESPORTIVA SERRA MAR LTDA inscrita no CNPJ nº. 29.742.243/0001-87 estabelecida na Rua </w:t>
      </w:r>
      <w:proofErr w:type="spellStart"/>
      <w:r>
        <w:rPr>
          <w:rFonts w:cs="Arial"/>
          <w:sz w:val="20"/>
        </w:rPr>
        <w:t>Aristiliano</w:t>
      </w:r>
      <w:proofErr w:type="spellEnd"/>
      <w:r>
        <w:rPr>
          <w:rFonts w:cs="Arial"/>
          <w:sz w:val="20"/>
        </w:rPr>
        <w:t xml:space="preserve"> Ramos,30, Centro em Orleans/SC, neste ato representada pelo Sr. Josemar </w:t>
      </w:r>
      <w:proofErr w:type="spellStart"/>
      <w:r>
        <w:rPr>
          <w:rFonts w:cs="Arial"/>
          <w:sz w:val="20"/>
        </w:rPr>
        <w:t>Sacom</w:t>
      </w:r>
      <w:proofErr w:type="spellEnd"/>
      <w:r>
        <w:rPr>
          <w:rFonts w:cs="Arial"/>
          <w:sz w:val="20"/>
        </w:rPr>
        <w:t>, brasileiro, CI 3.988.279, CPF 037.946.659-70,</w:t>
      </w:r>
    </w:p>
    <w:p>
      <w:pPr>
        <w:pStyle w:val="Normal1"/>
        <w:ind w:left="720"/>
        <w:rPr>
          <w:rFonts w:cs="Arial"/>
          <w:sz w:val="20"/>
        </w:rPr>
      </w:pPr>
    </w:p>
    <w:p>
      <w:pPr>
        <w:pStyle w:val="Normal1"/>
        <w:rPr>
          <w:rFonts w:cs="Arial"/>
          <w:sz w:val="20"/>
        </w:rPr>
      </w:pPr>
      <w:r>
        <w:rPr>
          <w:rFonts w:cs="Arial"/>
          <w:sz w:val="20"/>
        </w:rPr>
        <w:t xml:space="preserve">Doravante denominada </w:t>
      </w:r>
      <w:r>
        <w:rPr>
          <w:rFonts w:cs="Arial"/>
          <w:b/>
          <w:bCs/>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30/PMF/2020, para </w:t>
      </w:r>
      <w:r>
        <w:rPr>
          <w:rFonts w:cs="Arial"/>
          <w:b/>
          <w:bCs/>
          <w:sz w:val="20"/>
        </w:rPr>
        <w:t>REGISTRO DE PREÇOS</w:t>
      </w:r>
      <w:r>
        <w:rPr>
          <w:rFonts w:cs="Arial"/>
          <w:sz w:val="20"/>
        </w:rPr>
        <w:t>, segundo as cláusulas e condições a seguir:</w:t>
      </w:r>
    </w:p>
    <w:p>
      <w:pPr>
        <w:pStyle w:val="Normal1"/>
        <w:rPr>
          <w:rFonts w:cs="Arial"/>
          <w:sz w:val="20"/>
        </w:rPr>
      </w:pPr>
    </w:p>
    <w:p>
      <w:pPr>
        <w:spacing w:line="220" w:lineRule="exact"/>
        <w:jc w:val="both"/>
        <w:rPr>
          <w:rFonts w:ascii="Arial" w:hAnsi="Arial" w:cs="Arial"/>
          <w:b/>
          <w:bCs/>
        </w:rPr>
      </w:pPr>
      <w:r>
        <w:rPr>
          <w:rFonts w:ascii="Arial" w:hAnsi="Arial" w:cs="Arial"/>
          <w:b/>
          <w:bCs/>
        </w:rPr>
        <w:t xml:space="preserve">Cláusula Primeira – Do Objeto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bCs/>
        </w:rPr>
        <w:t xml:space="preserve">1. </w:t>
      </w:r>
      <w:r>
        <w:rPr>
          <w:rFonts w:ascii="Arial" w:hAnsi="Arial" w:cs="Arial"/>
        </w:rPr>
        <w:t>A presente ATA tem por objetivo estabelecer cláusulas e condições gerais para REGISTRAR PREÇO para a prestação de serviços de arbitragem para atendimento ás atividades da Secretaria de Cultura Esporte e Turismo do Município de Forquilhinha/SC, para futuras aquisições.</w:t>
      </w:r>
    </w:p>
    <w:p>
      <w:pPr>
        <w:spacing w:line="220" w:lineRule="exact"/>
        <w:jc w:val="both"/>
        <w:rPr>
          <w:rFonts w:ascii="Arial" w:hAnsi="Arial" w:cs="Arial"/>
        </w:rPr>
      </w:pPr>
    </w:p>
    <w:p>
      <w:pPr>
        <w:numPr>
          <w:ilvl w:val="1"/>
          <w:numId w:val="1"/>
        </w:numPr>
        <w:spacing w:line="230" w:lineRule="exact"/>
        <w:jc w:val="both"/>
        <w:rPr>
          <w:rFonts w:ascii="Arial" w:hAnsi="Arial" w:cs="Arial"/>
          <w:shd w:val="clear" w:color="auto" w:fill="F9F9F9"/>
        </w:rPr>
      </w:pPr>
      <w:r>
        <w:rPr>
          <w:rFonts w:ascii="Arial" w:hAnsi="Arial" w:cs="Arial"/>
          <w:shd w:val="clear" w:color="auto" w:fill="F9F9F9"/>
        </w:rPr>
        <w:t>A contratada tem a obrigação de:</w:t>
      </w:r>
    </w:p>
    <w:p>
      <w:pPr>
        <w:spacing w:line="230" w:lineRule="exact"/>
        <w:jc w:val="both"/>
        <w:rPr>
          <w:rFonts w:ascii="Arial" w:hAnsi="Arial" w:cs="Arial"/>
        </w:rPr>
      </w:pPr>
      <w:r>
        <w:rPr>
          <w:rFonts w:ascii="Arial" w:hAnsi="Arial" w:cs="Arial"/>
          <w:shd w:val="clear" w:color="auto" w:fill="F9F9F9"/>
        </w:rPr>
        <w:t xml:space="preserve">a) </w:t>
      </w:r>
      <w:r>
        <w:rPr>
          <w:rFonts w:ascii="Arial" w:hAnsi="Arial" w:cs="Arial"/>
        </w:rPr>
        <w:t>responsabilizar-se pela arbitragem de todos os jogos do campeonato, conforme programação, de acordo com as necessidades da Secretaria correspondente, dentro das especificações e quantitativos solicitados, sempre através de requisições (Ordem de Serviço) previamente emitidas e encaminhadas pelo Município num prazo mínimo de 48 (quarenta e oito) horas antes do evento.</w:t>
      </w:r>
    </w:p>
    <w:p>
      <w:pPr>
        <w:tabs>
          <w:tab w:val="left" w:pos="3240"/>
        </w:tabs>
        <w:jc w:val="both"/>
        <w:rPr>
          <w:rFonts w:ascii="Arial" w:hAnsi="Arial" w:cs="Arial"/>
        </w:rPr>
      </w:pPr>
      <w:r>
        <w:rPr>
          <w:rFonts w:ascii="Arial" w:hAnsi="Arial" w:cs="Arial"/>
          <w:shd w:val="clear" w:color="auto" w:fill="F9F9F9"/>
        </w:rPr>
        <w:t xml:space="preserve">b) </w:t>
      </w:r>
      <w:r>
        <w:rPr>
          <w:rFonts w:ascii="Arial" w:hAnsi="Arial" w:cs="Arial"/>
        </w:rPr>
        <w:t>utilizar todos os recursos técnicos adequados e dentro dos procedimentos compatíveis para a plena realização dos serviços.</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Segunda – Dos preços Registrados</w:t>
      </w:r>
    </w:p>
    <w:p>
      <w:pPr>
        <w:spacing w:line="220" w:lineRule="exact"/>
        <w:jc w:val="both"/>
        <w:rPr>
          <w:rFonts w:ascii="Arial" w:hAnsi="Arial" w:cs="Arial"/>
          <w:b/>
          <w:bCs/>
        </w:rPr>
      </w:pPr>
    </w:p>
    <w:p>
      <w:pPr>
        <w:pStyle w:val="Normal1"/>
        <w:rPr>
          <w:rFonts w:cs="Arial"/>
          <w:sz w:val="20"/>
        </w:rPr>
      </w:pPr>
      <w:r>
        <w:rPr>
          <w:rFonts w:cs="Arial"/>
          <w:b/>
          <w:bCs/>
          <w:sz w:val="20"/>
        </w:rPr>
        <w:t>1.</w:t>
      </w:r>
      <w:r>
        <w:rPr>
          <w:rFonts w:cs="Arial"/>
          <w:sz w:val="20"/>
        </w:rPr>
        <w:t xml:space="preserve"> Os valores unitários dos bens registrados nesta ata são OS CONSTANTES NA PLANILHA EM ANEXO e estão disponíveis no site </w:t>
      </w:r>
      <w:hyperlink r:id="rId6" w:history="1">
        <w:r>
          <w:rPr>
            <w:rStyle w:val="Hyperlink"/>
            <w:rFonts w:cs="Arial"/>
            <w:sz w:val="20"/>
          </w:rPr>
          <w:t>www.forquilhinha.sc.gov.br</w:t>
        </w:r>
      </w:hyperlink>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Terceira – Do Prazo, Condições e Local de Entrega</w:t>
      </w:r>
    </w:p>
    <w:p>
      <w:pPr>
        <w:spacing w:line="220" w:lineRule="exact"/>
        <w:jc w:val="both"/>
        <w:rPr>
          <w:rFonts w:ascii="Arial" w:hAnsi="Arial" w:cs="Arial"/>
          <w:b/>
          <w:bCs/>
        </w:rPr>
      </w:pPr>
    </w:p>
    <w:p>
      <w:pPr>
        <w:pStyle w:val="Normal1"/>
        <w:rPr>
          <w:rFonts w:cs="Arial"/>
          <w:sz w:val="20"/>
        </w:rPr>
      </w:pPr>
      <w:r>
        <w:rPr>
          <w:rFonts w:cs="Arial"/>
          <w:b/>
          <w:bCs/>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da Secretaria correspondente, dentro das especificações e quantitativos solicitados, sempre através de Ordens de Serviço previamente emitidas.</w:t>
      </w:r>
    </w:p>
    <w:p>
      <w:pPr>
        <w:pStyle w:val="TextosemFormatao2"/>
        <w:jc w:val="both"/>
        <w:rPr>
          <w:rFonts w:ascii="Arial" w:hAnsi="Arial" w:cs="Arial"/>
        </w:rPr>
      </w:pPr>
      <w:r>
        <w:rPr>
          <w:rFonts w:ascii="Arial" w:hAnsi="Arial" w:cs="Arial"/>
          <w:b/>
        </w:rPr>
        <w:t>1.2.</w:t>
      </w:r>
      <w:r>
        <w:rPr>
          <w:rFonts w:ascii="Arial" w:hAnsi="Arial" w:cs="Arial"/>
        </w:rPr>
        <w:t xml:space="preserve"> O objeto será solicitado de acordo com a necessidade do Município de Forquilhinha.</w:t>
      </w:r>
    </w:p>
    <w:p>
      <w:pPr>
        <w:spacing w:line="240" w:lineRule="exact"/>
        <w:jc w:val="both"/>
        <w:rPr>
          <w:rFonts w:ascii="Arial" w:hAnsi="Arial" w:cs="Arial"/>
        </w:rPr>
      </w:pPr>
      <w:r>
        <w:rPr>
          <w:rFonts w:ascii="Arial" w:hAnsi="Arial" w:cs="Arial"/>
          <w:b/>
        </w:rPr>
        <w:lastRenderedPageBreak/>
        <w:t>1.3.</w:t>
      </w:r>
      <w:r>
        <w:rPr>
          <w:rFonts w:ascii="Arial" w:hAnsi="Arial" w:cs="Arial"/>
        </w:rPr>
        <w:t xml:space="preserve"> Os locais da prestação dos serviços serão indicados em cada ordem de serviço, sendo limitado ao perímetro do município de Forquilhinha.</w:t>
      </w:r>
    </w:p>
    <w:p>
      <w:pPr>
        <w:spacing w:line="220" w:lineRule="exact"/>
        <w:jc w:val="both"/>
        <w:rPr>
          <w:rFonts w:ascii="Arial" w:hAnsi="Arial" w:cs="Arial"/>
        </w:rPr>
      </w:pPr>
    </w:p>
    <w:p>
      <w:pPr>
        <w:jc w:val="both"/>
        <w:rPr>
          <w:rFonts w:ascii="Arial" w:hAnsi="Arial" w:cs="Arial"/>
        </w:rPr>
      </w:pPr>
      <w:r>
        <w:rPr>
          <w:rFonts w:ascii="Arial" w:hAnsi="Arial" w:cs="Arial"/>
          <w:b/>
          <w:bCs/>
        </w:rPr>
        <w:t>2.</w:t>
      </w:r>
      <w:r>
        <w:rPr>
          <w:rFonts w:ascii="Arial" w:hAnsi="Arial" w:cs="Arial"/>
        </w:rPr>
        <w:t xml:space="preserve"> O setor competente do município processará a conferência dos serviços executados, lavrando o termo de recebimento definitivo ou notificando a DETENTORA DA ATA para substituição do produto entregue em desacordo com as especificações exigidas.</w:t>
      </w:r>
    </w:p>
    <w:p>
      <w:pPr>
        <w:jc w:val="both"/>
        <w:rPr>
          <w:rFonts w:ascii="Arial" w:hAnsi="Arial" w:cs="Arial"/>
          <w:b/>
          <w:bCs/>
        </w:rPr>
      </w:pPr>
    </w:p>
    <w:p>
      <w:pPr>
        <w:jc w:val="both"/>
        <w:rPr>
          <w:rFonts w:ascii="Arial" w:hAnsi="Arial" w:cs="Arial"/>
        </w:rPr>
      </w:pPr>
      <w:r>
        <w:rPr>
          <w:rFonts w:ascii="Arial" w:hAnsi="Arial" w:cs="Arial"/>
          <w:b/>
          <w:bCs/>
        </w:rPr>
        <w:t>3.</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bCs/>
        </w:rPr>
      </w:pPr>
    </w:p>
    <w:p>
      <w:pPr>
        <w:jc w:val="both"/>
        <w:rPr>
          <w:rFonts w:ascii="Arial" w:hAnsi="Arial" w:cs="Arial"/>
        </w:rPr>
      </w:pPr>
      <w:r>
        <w:rPr>
          <w:rFonts w:ascii="Arial" w:hAnsi="Arial" w:cs="Arial"/>
          <w:b/>
          <w:bCs/>
        </w:rPr>
        <w:t>4.</w:t>
      </w:r>
      <w:r>
        <w:rPr>
          <w:rFonts w:ascii="Arial" w:hAnsi="Arial" w:cs="Arial"/>
        </w:rPr>
        <w:t xml:space="preserve"> Nos casos da DETENTORA DA ATA não realizar o objeto de acordo com as especificações exigidas ou se negar a fazer a substituição dos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bCs/>
        </w:rPr>
        <w:t>5.</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bCs/>
        </w:rPr>
        <w:t>6.</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Quarta – Da Vigência e Revisão de Preços</w:t>
      </w:r>
    </w:p>
    <w:p>
      <w:pPr>
        <w:spacing w:line="220" w:lineRule="exact"/>
        <w:jc w:val="both"/>
        <w:rPr>
          <w:rFonts w:ascii="Arial" w:hAnsi="Arial" w:cs="Arial"/>
          <w:b/>
          <w:bCs/>
        </w:rPr>
      </w:pPr>
    </w:p>
    <w:p>
      <w:pPr>
        <w:jc w:val="both"/>
        <w:rPr>
          <w:rFonts w:ascii="Arial" w:hAnsi="Arial" w:cs="Arial"/>
        </w:rPr>
      </w:pPr>
      <w:r>
        <w:rPr>
          <w:rFonts w:ascii="Arial" w:hAnsi="Arial" w:cs="Arial"/>
          <w:b/>
          <w:bCs/>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bCs/>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bCs/>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bCs/>
        </w:rPr>
        <w:t>3.</w:t>
      </w:r>
      <w:r>
        <w:rPr>
          <w:rFonts w:ascii="Arial" w:hAnsi="Arial" w:cs="Arial"/>
        </w:rPr>
        <w:t xml:space="preserve"> O prazo de validade da ata de registro de preços será por um período de </w:t>
      </w:r>
      <w:r>
        <w:rPr>
          <w:rFonts w:ascii="Arial" w:hAnsi="Arial" w:cs="Arial"/>
          <w:b/>
          <w:bCs/>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bCs/>
        </w:rPr>
      </w:pPr>
      <w:r>
        <w:rPr>
          <w:rFonts w:ascii="Arial" w:hAnsi="Arial" w:cs="Arial"/>
          <w:b/>
          <w:bCs/>
        </w:rPr>
        <w:t>Cláusula Quinta – Da Forma e Condições de Pagamento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1.</w:t>
      </w:r>
      <w:r>
        <w:rPr>
          <w:rFonts w:ascii="Arial" w:hAnsi="Arial" w:cs="Arial"/>
        </w:rPr>
        <w:t xml:space="preserve"> O pagamento será feito em até </w:t>
      </w:r>
      <w:r>
        <w:rPr>
          <w:rFonts w:ascii="Arial" w:hAnsi="Arial" w:cs="Arial"/>
          <w:b/>
          <w:bCs/>
        </w:rPr>
        <w:t xml:space="preserve">30 (trinta) dias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bCs/>
        </w:rPr>
        <w:t xml:space="preserve">1.1. </w:t>
      </w:r>
      <w:r>
        <w:rPr>
          <w:rFonts w:ascii="Arial" w:hAnsi="Arial" w:cs="Arial"/>
        </w:rPr>
        <w:t>A Nota Fiscal deverá ser</w:t>
      </w:r>
      <w:r>
        <w:rPr>
          <w:rFonts w:ascii="Arial" w:hAnsi="Arial" w:cs="Arial"/>
          <w:b/>
          <w:bCs/>
        </w:rPr>
        <w:t xml:space="preserve"> </w:t>
      </w:r>
      <w:r>
        <w:rPr>
          <w:rFonts w:ascii="Arial" w:hAnsi="Arial" w:cs="Arial"/>
        </w:rPr>
        <w:t>acompanhada dos respectivos relatórios que comprovem a execução dos serviços em conformidade ao discriminado na proposta contratada.</w:t>
      </w:r>
    </w:p>
    <w:p>
      <w:pPr>
        <w:spacing w:line="220" w:lineRule="exact"/>
        <w:jc w:val="both"/>
        <w:rPr>
          <w:rFonts w:ascii="Arial" w:hAnsi="Arial" w:cs="Arial"/>
        </w:rPr>
      </w:pPr>
      <w:r>
        <w:rPr>
          <w:rFonts w:ascii="Arial" w:hAnsi="Arial" w:cs="Arial"/>
          <w:b/>
          <w:bCs/>
        </w:rPr>
        <w:t>1.2.</w:t>
      </w:r>
      <w:r>
        <w:rPr>
          <w:rFonts w:ascii="Arial" w:hAnsi="Arial" w:cs="Arial"/>
        </w:rPr>
        <w:t xml:space="preserve"> O CERTIFICO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bCs/>
        </w:rPr>
        <w:t>1.3.</w:t>
      </w:r>
      <w:r>
        <w:rPr>
          <w:rFonts w:ascii="Arial" w:hAnsi="Arial" w:cs="Arial"/>
        </w:rPr>
        <w:t xml:space="preserve"> Na Nota Fiscal deverá constar, necessariamente, o número do Processo de Licitação e o número da Autorização de Fornecimento.</w:t>
      </w:r>
    </w:p>
    <w:p>
      <w:pPr>
        <w:spacing w:line="240" w:lineRule="exact"/>
        <w:jc w:val="both"/>
        <w:rPr>
          <w:rFonts w:ascii="Arial" w:hAnsi="Arial" w:cs="Arial"/>
        </w:rPr>
      </w:pPr>
      <w:r>
        <w:rPr>
          <w:rFonts w:ascii="Arial" w:hAnsi="Arial" w:cs="Arial"/>
          <w:b/>
          <w:bCs/>
        </w:rPr>
        <w:t xml:space="preserve">1.4. </w:t>
      </w:r>
      <w:r>
        <w:rPr>
          <w:rFonts w:ascii="Arial" w:hAnsi="Arial" w:cs="Arial"/>
        </w:rPr>
        <w:t>Além do relatório de serviços e Nota Fiscal, a Contratada deverá apresentar os seguintes documentos:</w:t>
      </w:r>
    </w:p>
    <w:p>
      <w:pPr>
        <w:spacing w:line="240" w:lineRule="exact"/>
        <w:jc w:val="both"/>
        <w:rPr>
          <w:rFonts w:ascii="Arial" w:hAnsi="Arial" w:cs="Arial"/>
        </w:rPr>
      </w:pPr>
      <w:r>
        <w:rPr>
          <w:rFonts w:ascii="Arial" w:hAnsi="Arial" w:cs="Arial"/>
          <w:b/>
          <w:bCs/>
        </w:rPr>
        <w:t>A)</w:t>
      </w:r>
      <w:r>
        <w:rPr>
          <w:rFonts w:ascii="Arial" w:hAnsi="Arial" w:cs="Arial"/>
        </w:rPr>
        <w:t xml:space="preserve"> Certidão Conjunta de Débito junto a Fazenda Federal e CND FGTS demonstrando sua regularidade; </w:t>
      </w:r>
    </w:p>
    <w:p>
      <w:pPr>
        <w:pStyle w:val="Corpodetexto"/>
        <w:spacing w:line="240" w:lineRule="exact"/>
        <w:ind w:right="0"/>
        <w:rPr>
          <w:rFonts w:cs="Arial"/>
          <w:sz w:val="20"/>
        </w:rPr>
      </w:pPr>
      <w:r>
        <w:rPr>
          <w:rFonts w:cs="Arial"/>
          <w:b/>
          <w:bCs/>
          <w:sz w:val="20"/>
        </w:rPr>
        <w:t>B)</w:t>
      </w:r>
      <w:r>
        <w:rPr>
          <w:rFonts w:cs="Arial"/>
          <w:sz w:val="20"/>
        </w:rPr>
        <w:t xml:space="preserve"> Cópia de recolhimento dos seguintes pagamentos do mês anterior: guia de recolhimento do INSS e guia de recolhimento do FGTS; </w:t>
      </w:r>
    </w:p>
    <w:p>
      <w:pPr>
        <w:spacing w:line="240" w:lineRule="exact"/>
        <w:jc w:val="both"/>
        <w:rPr>
          <w:rFonts w:ascii="Arial" w:hAnsi="Arial" w:cs="Arial"/>
        </w:rPr>
      </w:pPr>
      <w:r>
        <w:rPr>
          <w:rFonts w:ascii="Arial" w:hAnsi="Arial" w:cs="Arial"/>
          <w:b/>
          <w:bCs/>
        </w:rPr>
        <w:t>C)</w:t>
      </w:r>
      <w:r>
        <w:rPr>
          <w:rFonts w:ascii="Arial" w:hAnsi="Arial" w:cs="Arial"/>
        </w:rPr>
        <w:t xml:space="preserve"> Relação de Empregados - RE.</w:t>
      </w:r>
    </w:p>
    <w:p>
      <w:pPr>
        <w:spacing w:line="220" w:lineRule="exact"/>
        <w:jc w:val="both"/>
        <w:rPr>
          <w:rFonts w:ascii="Arial" w:hAnsi="Arial" w:cs="Arial"/>
          <w:b/>
          <w:bCs/>
        </w:rPr>
      </w:pPr>
      <w:r>
        <w:rPr>
          <w:rFonts w:ascii="Arial" w:hAnsi="Arial" w:cs="Arial"/>
          <w:b/>
          <w:bCs/>
        </w:rPr>
        <w:t>4.1.1.</w:t>
      </w:r>
      <w:r>
        <w:rPr>
          <w:rFonts w:ascii="Arial" w:hAnsi="Arial" w:cs="Arial"/>
        </w:rPr>
        <w:t xml:space="preserve"> A não apresentação dos documentos enunciados acima implica na suspensão do pagamento da fatura até a apresentação, não sendo exigível, neste caso, atualização financeira dos valores, por inadimplemento.</w:t>
      </w:r>
    </w:p>
    <w:p>
      <w:pPr>
        <w:spacing w:line="220" w:lineRule="exact"/>
        <w:jc w:val="both"/>
        <w:rPr>
          <w:rFonts w:ascii="Arial" w:hAnsi="Arial" w:cs="Arial"/>
          <w:b/>
          <w:bCs/>
        </w:rPr>
      </w:pPr>
      <w:r>
        <w:rPr>
          <w:rFonts w:ascii="Arial" w:hAnsi="Arial" w:cs="Arial"/>
          <w:b/>
          <w:bCs/>
        </w:rPr>
        <w:t xml:space="preserve">1.5.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3.</w:t>
      </w:r>
      <w:r>
        <w:rPr>
          <w:rFonts w:ascii="Arial" w:hAnsi="Arial" w:cs="Arial"/>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rPr>
      </w:pPr>
    </w:p>
    <w:p>
      <w:pPr>
        <w:spacing w:line="220" w:lineRule="exact"/>
        <w:rPr>
          <w:rFonts w:ascii="Arial" w:hAnsi="Arial" w:cs="Arial"/>
          <w:b/>
          <w:bCs/>
        </w:rPr>
      </w:pPr>
      <w:r>
        <w:rPr>
          <w:rFonts w:ascii="Arial" w:hAnsi="Arial" w:cs="Arial"/>
          <w:b/>
          <w:bCs/>
        </w:rPr>
        <w:t>Cláusula Sexta – Da Autorização de Fornecimento</w:t>
      </w:r>
    </w:p>
    <w:p>
      <w:pPr>
        <w:spacing w:line="220" w:lineRule="exact"/>
        <w:rPr>
          <w:rFonts w:ascii="Arial" w:hAnsi="Arial" w:cs="Arial"/>
          <w:b/>
          <w:bCs/>
        </w:rPr>
      </w:pPr>
    </w:p>
    <w:p>
      <w:pPr>
        <w:ind w:right="48"/>
        <w:jc w:val="both"/>
        <w:rPr>
          <w:rFonts w:ascii="Arial" w:hAnsi="Arial" w:cs="Arial"/>
        </w:rPr>
      </w:pPr>
      <w:r>
        <w:rPr>
          <w:rFonts w:ascii="Arial" w:hAnsi="Arial" w:cs="Arial"/>
          <w:b/>
          <w:bCs/>
        </w:rPr>
        <w:t xml:space="preserve">1. </w:t>
      </w:r>
      <w:r>
        <w:rPr>
          <w:rFonts w:ascii="Arial" w:hAnsi="Arial" w:cs="Arial"/>
        </w:rPr>
        <w:t>A aquisição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bCs/>
        </w:rPr>
      </w:pPr>
    </w:p>
    <w:p>
      <w:pPr>
        <w:spacing w:line="220" w:lineRule="exact"/>
        <w:rPr>
          <w:rFonts w:ascii="Arial" w:hAnsi="Arial" w:cs="Arial"/>
          <w:b/>
          <w:bCs/>
        </w:rPr>
      </w:pPr>
      <w:r>
        <w:rPr>
          <w:rFonts w:ascii="Arial" w:hAnsi="Arial" w:cs="Arial"/>
          <w:b/>
          <w:bCs/>
        </w:rPr>
        <w:t>Cláusula Sétima – Das Obrigações</w:t>
      </w:r>
    </w:p>
    <w:p>
      <w:pPr>
        <w:spacing w:line="220" w:lineRule="exact"/>
        <w:rPr>
          <w:rFonts w:ascii="Arial" w:hAnsi="Arial" w:cs="Arial"/>
          <w:b/>
          <w:bCs/>
        </w:rPr>
      </w:pPr>
    </w:p>
    <w:p>
      <w:pPr>
        <w:jc w:val="both"/>
        <w:rPr>
          <w:rFonts w:ascii="Arial" w:hAnsi="Arial" w:cs="Arial"/>
        </w:rPr>
      </w:pPr>
      <w:r>
        <w:rPr>
          <w:rFonts w:ascii="Arial" w:hAnsi="Arial" w:cs="Arial"/>
          <w:b/>
          <w:bCs/>
        </w:rPr>
        <w:t xml:space="preserve">1. </w:t>
      </w:r>
      <w:r>
        <w:rPr>
          <w:rFonts w:ascii="Arial" w:hAnsi="Arial" w:cs="Arial"/>
        </w:rPr>
        <w:t>Do Município:</w:t>
      </w:r>
    </w:p>
    <w:p>
      <w:pPr>
        <w:jc w:val="both"/>
        <w:rPr>
          <w:rFonts w:ascii="Arial" w:hAnsi="Arial" w:cs="Arial"/>
        </w:rPr>
      </w:pPr>
      <w:r>
        <w:rPr>
          <w:rFonts w:ascii="Arial" w:hAnsi="Arial" w:cs="Arial"/>
          <w:b/>
          <w:bCs/>
        </w:rPr>
        <w:t>1.1.</w:t>
      </w:r>
      <w:r>
        <w:rPr>
          <w:rFonts w:ascii="Arial" w:hAnsi="Arial" w:cs="Arial"/>
        </w:rPr>
        <w:t xml:space="preserve"> Atestar as Notas Fiscais a efetiva a execução dos serviços desta ata;</w:t>
      </w:r>
    </w:p>
    <w:p>
      <w:pPr>
        <w:jc w:val="both"/>
        <w:rPr>
          <w:rFonts w:ascii="Arial" w:hAnsi="Arial" w:cs="Arial"/>
        </w:rPr>
      </w:pPr>
      <w:r>
        <w:rPr>
          <w:rFonts w:ascii="Arial" w:hAnsi="Arial" w:cs="Arial"/>
          <w:b/>
          <w:bCs/>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bCs/>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bCs/>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bCs/>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rPr>
          <w:rFonts w:ascii="Arial" w:hAnsi="Arial" w:cs="Arial"/>
          <w:sz w:val="20"/>
        </w:rPr>
      </w:pPr>
    </w:p>
    <w:p>
      <w:pPr>
        <w:pStyle w:val="Ttulo3"/>
        <w:rPr>
          <w:rFonts w:ascii="Arial" w:hAnsi="Arial" w:cs="Arial"/>
          <w:sz w:val="20"/>
        </w:rPr>
      </w:pPr>
      <w:r>
        <w:rPr>
          <w:rFonts w:ascii="Arial" w:hAnsi="Arial" w:cs="Arial"/>
          <w:sz w:val="20"/>
        </w:rPr>
        <w:t xml:space="preserve">2. </w:t>
      </w:r>
      <w:r>
        <w:rPr>
          <w:rFonts w:ascii="Arial" w:hAnsi="Arial" w:cs="Arial"/>
          <w:b w:val="0"/>
          <w:bCs/>
          <w:sz w:val="20"/>
        </w:rPr>
        <w:t>Da Detentora da Ata:</w:t>
      </w:r>
    </w:p>
    <w:p>
      <w:pPr>
        <w:jc w:val="both"/>
        <w:rPr>
          <w:rFonts w:ascii="Arial" w:eastAsia="Calibri" w:hAnsi="Arial" w:cs="Arial"/>
        </w:rPr>
      </w:pPr>
      <w:r>
        <w:rPr>
          <w:rFonts w:ascii="Arial" w:hAnsi="Arial" w:cs="Arial"/>
          <w:b/>
          <w:bCs/>
        </w:rPr>
        <w:t>2.1.</w:t>
      </w:r>
      <w:r>
        <w:rPr>
          <w:rFonts w:ascii="Arial" w:hAnsi="Arial" w:cs="Arial"/>
        </w:rPr>
        <w:t xml:space="preserve"> Prestar os serviços de acordo com as especificações contidas nesta ata, bem como no edital e seus anexos;</w:t>
      </w:r>
    </w:p>
    <w:p>
      <w:pPr>
        <w:jc w:val="both"/>
        <w:rPr>
          <w:rFonts w:ascii="Arial" w:hAnsi="Arial" w:cs="Arial"/>
        </w:rPr>
      </w:pPr>
      <w:r>
        <w:rPr>
          <w:rFonts w:ascii="Arial" w:hAnsi="Arial" w:cs="Arial"/>
          <w:b/>
          <w:bCs/>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bCs/>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bCs/>
        </w:rPr>
        <w:t>2.4</w:t>
      </w:r>
      <w:r>
        <w:rPr>
          <w:rFonts w:ascii="Arial" w:hAnsi="Arial" w:cs="Arial"/>
        </w:rPr>
        <w:t>. Executar o objeto registrado, no preço, prazo e forma estipulados na proposta, edital e anexos;</w:t>
      </w:r>
    </w:p>
    <w:p>
      <w:pPr>
        <w:jc w:val="both"/>
        <w:rPr>
          <w:rFonts w:ascii="Arial" w:hAnsi="Arial" w:cs="Arial"/>
        </w:rPr>
      </w:pPr>
      <w:r>
        <w:rPr>
          <w:rFonts w:ascii="Arial" w:hAnsi="Arial" w:cs="Arial"/>
          <w:b/>
          <w:bCs/>
        </w:rPr>
        <w:t>2.5.</w:t>
      </w:r>
      <w:r>
        <w:rPr>
          <w:rFonts w:ascii="Arial" w:hAnsi="Arial" w:cs="Arial"/>
        </w:rPr>
        <w:t xml:space="preserve"> Substituir, imediatamente, qualquer profissional cujo desempenho e conduta sejam considerados pelo Município como inconvenientes para o desempenho dos serviços;</w:t>
      </w:r>
    </w:p>
    <w:p>
      <w:pPr>
        <w:jc w:val="both"/>
        <w:rPr>
          <w:rFonts w:ascii="Arial" w:hAnsi="Arial" w:cs="Arial"/>
          <w:b/>
          <w:bCs/>
        </w:rPr>
      </w:pPr>
      <w:r>
        <w:rPr>
          <w:rFonts w:ascii="Arial" w:hAnsi="Arial" w:cs="Arial"/>
          <w:b/>
          <w:bCs/>
        </w:rPr>
        <w:t>2.6.</w:t>
      </w:r>
      <w:r>
        <w:rPr>
          <w:rFonts w:ascii="Arial" w:hAnsi="Arial" w:cs="Arial"/>
        </w:rPr>
        <w:t xml:space="preserve"> Responsabilizar-se por quaisquer danos ou prejuízos causados ao Município, devidamente caracterizada a imperícia ou culpa de seus profissionais, cujos valores serão descontados de fatura seguinte da Contratada, sem prejuízo das demais sanções e procedimentos.</w:t>
      </w:r>
    </w:p>
    <w:p>
      <w:pPr>
        <w:jc w:val="both"/>
        <w:rPr>
          <w:rFonts w:ascii="Arial" w:hAnsi="Arial" w:cs="Arial"/>
          <w:b/>
          <w:bCs/>
        </w:rPr>
      </w:pPr>
    </w:p>
    <w:p>
      <w:pPr>
        <w:spacing w:line="220" w:lineRule="exact"/>
        <w:rPr>
          <w:rFonts w:ascii="Arial" w:hAnsi="Arial" w:cs="Arial"/>
          <w:b/>
          <w:bCs/>
        </w:rPr>
      </w:pPr>
      <w:r>
        <w:rPr>
          <w:rFonts w:ascii="Arial" w:hAnsi="Arial" w:cs="Arial"/>
          <w:b/>
          <w:bCs/>
        </w:rPr>
        <w:t>Cláusula Oitava – Das Penalidades e Sanções Administrativas</w:t>
      </w:r>
    </w:p>
    <w:p>
      <w:pPr>
        <w:spacing w:line="220" w:lineRule="exact"/>
        <w:rPr>
          <w:rFonts w:ascii="Arial" w:hAnsi="Arial" w:cs="Arial"/>
        </w:rPr>
      </w:pPr>
    </w:p>
    <w:p>
      <w:pPr>
        <w:pStyle w:val="Normal1"/>
        <w:spacing w:line="240" w:lineRule="exact"/>
        <w:rPr>
          <w:rFonts w:cs="Arial"/>
          <w:sz w:val="20"/>
          <w:shd w:val="clear" w:color="auto" w:fill="FFFFFF"/>
        </w:rPr>
      </w:pPr>
      <w:r>
        <w:rPr>
          <w:rFonts w:cs="Arial"/>
          <w:b/>
          <w:bCs/>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1"/>
        <w:spacing w:line="240" w:lineRule="exact"/>
        <w:rPr>
          <w:rFonts w:cs="Arial"/>
          <w:sz w:val="20"/>
          <w:shd w:val="clear" w:color="auto" w:fill="FFFFFF"/>
        </w:rPr>
      </w:pPr>
      <w:r>
        <w:rPr>
          <w:rFonts w:cs="Arial"/>
          <w:b/>
          <w:bCs/>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1"/>
        <w:spacing w:line="240" w:lineRule="exact"/>
        <w:rPr>
          <w:rFonts w:cs="Arial"/>
          <w:sz w:val="20"/>
          <w:shd w:val="clear" w:color="auto" w:fill="FFFFFF"/>
        </w:rPr>
      </w:pPr>
      <w:r>
        <w:rPr>
          <w:rFonts w:cs="Arial"/>
          <w:b/>
          <w:bCs/>
          <w:sz w:val="20"/>
          <w:shd w:val="clear" w:color="auto" w:fill="FFFFFF"/>
        </w:rPr>
        <w:t>B)</w:t>
      </w:r>
      <w:r>
        <w:rPr>
          <w:rFonts w:cs="Arial"/>
          <w:sz w:val="20"/>
          <w:shd w:val="clear" w:color="auto" w:fill="FFFFFF"/>
        </w:rPr>
        <w:t xml:space="preserve"> apresentar documentação falsa;</w:t>
      </w:r>
    </w:p>
    <w:p>
      <w:pPr>
        <w:pStyle w:val="Normal1"/>
        <w:spacing w:line="240" w:lineRule="exact"/>
        <w:rPr>
          <w:rFonts w:cs="Arial"/>
          <w:sz w:val="20"/>
          <w:shd w:val="clear" w:color="auto" w:fill="FFFFFF"/>
        </w:rPr>
      </w:pPr>
      <w:r>
        <w:rPr>
          <w:rFonts w:cs="Arial"/>
          <w:b/>
          <w:bCs/>
          <w:sz w:val="20"/>
          <w:shd w:val="clear" w:color="auto" w:fill="FFFFFF"/>
        </w:rPr>
        <w:t>C)</w:t>
      </w:r>
      <w:r>
        <w:rPr>
          <w:rFonts w:cs="Arial"/>
          <w:sz w:val="20"/>
          <w:shd w:val="clear" w:color="auto" w:fill="FFFFFF"/>
        </w:rPr>
        <w:t xml:space="preserve"> deixar de entregar os documentos exigidos no certame;</w:t>
      </w:r>
    </w:p>
    <w:p>
      <w:pPr>
        <w:pStyle w:val="Normal1"/>
        <w:spacing w:line="240" w:lineRule="exact"/>
        <w:rPr>
          <w:rFonts w:cs="Arial"/>
          <w:sz w:val="20"/>
        </w:rPr>
      </w:pPr>
      <w:r>
        <w:rPr>
          <w:rFonts w:cs="Arial"/>
          <w:b/>
          <w:bCs/>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1"/>
        <w:spacing w:line="240" w:lineRule="exact"/>
        <w:rPr>
          <w:rFonts w:cs="Arial"/>
          <w:sz w:val="20"/>
          <w:shd w:val="clear" w:color="auto" w:fill="FFFFFF"/>
        </w:rPr>
      </w:pPr>
      <w:r>
        <w:rPr>
          <w:rFonts w:cs="Arial"/>
          <w:b/>
          <w:bCs/>
          <w:sz w:val="20"/>
        </w:rPr>
        <w:t>E)</w:t>
      </w:r>
      <w:r>
        <w:rPr>
          <w:rFonts w:cs="Arial"/>
          <w:sz w:val="20"/>
        </w:rPr>
        <w:t xml:space="preserve"> </w:t>
      </w:r>
      <w:r>
        <w:rPr>
          <w:rFonts w:cs="Arial"/>
          <w:sz w:val="20"/>
          <w:shd w:val="clear" w:color="auto" w:fill="FFFFFF"/>
        </w:rPr>
        <w:t>não mantiver a proposta;</w:t>
      </w:r>
    </w:p>
    <w:p>
      <w:pPr>
        <w:pStyle w:val="Normal1"/>
        <w:spacing w:line="240" w:lineRule="exact"/>
        <w:rPr>
          <w:rFonts w:cs="Arial"/>
          <w:sz w:val="20"/>
          <w:shd w:val="clear" w:color="auto" w:fill="FFFFFF"/>
        </w:rPr>
      </w:pPr>
      <w:r>
        <w:rPr>
          <w:rFonts w:cs="Arial"/>
          <w:b/>
          <w:bCs/>
          <w:sz w:val="20"/>
          <w:shd w:val="clear" w:color="auto" w:fill="FFFFFF"/>
        </w:rPr>
        <w:t>F)</w:t>
      </w:r>
      <w:r>
        <w:rPr>
          <w:rFonts w:cs="Arial"/>
          <w:sz w:val="20"/>
          <w:shd w:val="clear" w:color="auto" w:fill="FFFFFF"/>
        </w:rPr>
        <w:t xml:space="preserve"> cometer fraude fiscal;</w:t>
      </w:r>
    </w:p>
    <w:p>
      <w:pPr>
        <w:pStyle w:val="Normal1"/>
        <w:spacing w:line="240" w:lineRule="exact"/>
        <w:rPr>
          <w:rFonts w:cs="Arial"/>
          <w:sz w:val="20"/>
          <w:shd w:val="clear" w:color="auto" w:fill="FFFFFF"/>
        </w:rPr>
      </w:pPr>
      <w:r>
        <w:rPr>
          <w:rFonts w:cs="Arial"/>
          <w:b/>
          <w:bCs/>
          <w:sz w:val="20"/>
          <w:shd w:val="clear" w:color="auto" w:fill="FFFFFF"/>
        </w:rPr>
        <w:t>G)</w:t>
      </w:r>
      <w:r>
        <w:rPr>
          <w:rFonts w:cs="Arial"/>
          <w:sz w:val="20"/>
          <w:shd w:val="clear" w:color="auto" w:fill="FFFFFF"/>
        </w:rPr>
        <w:t xml:space="preserve"> comportar-se de modo inidôneo.</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bCs/>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bCs/>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1"/>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autoSpaceDE w:val="0"/>
        <w:autoSpaceDN w:val="0"/>
        <w:spacing w:line="240" w:lineRule="exact"/>
        <w:jc w:val="both"/>
        <w:rPr>
          <w:rFonts w:ascii="Arial" w:hAnsi="Arial" w:cs="Arial"/>
        </w:rPr>
      </w:pPr>
      <w:r>
        <w:rPr>
          <w:rFonts w:ascii="Arial" w:hAnsi="Arial" w:cs="Arial"/>
          <w:b/>
          <w:bCs/>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1"/>
        <w:spacing w:line="240" w:lineRule="exact"/>
        <w:rPr>
          <w:rFonts w:cs="Arial"/>
          <w:sz w:val="20"/>
          <w:shd w:val="clear" w:color="auto" w:fill="FFFFFF"/>
        </w:rPr>
      </w:pPr>
      <w:r>
        <w:rPr>
          <w:rFonts w:cs="Arial"/>
          <w:b/>
          <w:bCs/>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1"/>
        <w:spacing w:line="240" w:lineRule="exact"/>
        <w:rPr>
          <w:rFonts w:cs="Arial"/>
          <w:sz w:val="20"/>
          <w:shd w:val="clear" w:color="auto" w:fill="FFFFFF"/>
        </w:rPr>
      </w:pPr>
    </w:p>
    <w:p>
      <w:pPr>
        <w:pStyle w:val="Normal1"/>
        <w:spacing w:line="240" w:lineRule="exact"/>
        <w:rPr>
          <w:rFonts w:cs="Arial"/>
          <w:sz w:val="20"/>
        </w:rPr>
      </w:pPr>
      <w:r>
        <w:rPr>
          <w:rFonts w:cs="Arial"/>
          <w:b/>
          <w:bCs/>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spacing w:line="240" w:lineRule="exact"/>
        <w:rPr>
          <w:rFonts w:cs="Arial"/>
          <w:sz w:val="20"/>
        </w:rPr>
      </w:pPr>
    </w:p>
    <w:p>
      <w:pPr>
        <w:pStyle w:val="Normal1"/>
        <w:spacing w:line="240" w:lineRule="exact"/>
        <w:rPr>
          <w:rFonts w:cs="Arial"/>
          <w:sz w:val="20"/>
        </w:rPr>
      </w:pPr>
      <w:r>
        <w:rPr>
          <w:rFonts w:cs="Arial"/>
          <w:b/>
          <w:bCs/>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Nona – Do Cancelamento da Ata de Registro de Preços</w:t>
      </w:r>
    </w:p>
    <w:p>
      <w:pPr>
        <w:spacing w:line="220" w:lineRule="exact"/>
        <w:jc w:val="both"/>
        <w:rPr>
          <w:rFonts w:ascii="Arial" w:hAnsi="Arial" w:cs="Arial"/>
          <w:b/>
          <w:bCs/>
        </w:rPr>
      </w:pPr>
    </w:p>
    <w:p>
      <w:pPr>
        <w:ind w:right="48"/>
        <w:jc w:val="both"/>
        <w:rPr>
          <w:rFonts w:ascii="Arial" w:hAnsi="Arial" w:cs="Arial"/>
        </w:rPr>
      </w:pPr>
      <w:r>
        <w:rPr>
          <w:rFonts w:ascii="Arial" w:hAnsi="Arial" w:cs="Arial"/>
          <w:b/>
          <w:bCs/>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bCs/>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bCs/>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bCs/>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bCs/>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bCs/>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bCs/>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bCs/>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bCs/>
        </w:rPr>
      </w:pPr>
    </w:p>
    <w:p>
      <w:pPr>
        <w:spacing w:line="220" w:lineRule="exact"/>
        <w:rPr>
          <w:rFonts w:ascii="Arial" w:hAnsi="Arial" w:cs="Arial"/>
          <w:b/>
          <w:bCs/>
        </w:rPr>
      </w:pPr>
      <w:r>
        <w:rPr>
          <w:rFonts w:ascii="Arial" w:hAnsi="Arial" w:cs="Arial"/>
          <w:b/>
          <w:bCs/>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1.</w:t>
      </w:r>
      <w:r>
        <w:rPr>
          <w:rFonts w:ascii="Arial" w:hAnsi="Arial" w:cs="Arial"/>
        </w:rPr>
        <w:t xml:space="preserve"> O Sr. Fabio Roberto </w:t>
      </w:r>
      <w:proofErr w:type="spellStart"/>
      <w:r>
        <w:rPr>
          <w:rFonts w:ascii="Arial" w:hAnsi="Arial" w:cs="Arial"/>
        </w:rPr>
        <w:t>Pirola</w:t>
      </w:r>
      <w:proofErr w:type="spellEnd"/>
      <w:r>
        <w:rPr>
          <w:rFonts w:ascii="Arial" w:hAnsi="Arial" w:cs="Arial"/>
        </w:rPr>
        <w:t xml:space="preserve"> Pereira, será o Fiscal desta Ata,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Felipe </w:t>
      </w:r>
      <w:proofErr w:type="spellStart"/>
      <w:r>
        <w:rPr>
          <w:rFonts w:ascii="Arial" w:hAnsi="Arial" w:cs="Arial"/>
        </w:rPr>
        <w:t>Dordete</w:t>
      </w:r>
      <w:proofErr w:type="spellEnd"/>
      <w:r>
        <w:rPr>
          <w:rFonts w:ascii="Arial" w:hAnsi="Arial" w:cs="Arial"/>
        </w:rPr>
        <w:t xml:space="preserve"> de Abreu, Secretário de Cultura, Esporte e Turismo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bCs/>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bCs/>
        </w:rPr>
      </w:pPr>
      <w:r>
        <w:rPr>
          <w:rFonts w:ascii="Arial" w:hAnsi="Arial" w:cs="Arial"/>
          <w:b/>
          <w:bCs/>
        </w:rPr>
        <w:t>1.</w:t>
      </w:r>
      <w:r>
        <w:rPr>
          <w:rFonts w:ascii="Arial" w:hAnsi="Arial" w:cs="Arial"/>
        </w:rPr>
        <w:t xml:space="preserve"> Integra esta Ata de Registro de Preços, o Edital de Pregão Presencial nº. </w:t>
      </w:r>
      <w:r>
        <w:rPr>
          <w:rFonts w:ascii="Arial" w:hAnsi="Arial" w:cs="Arial"/>
          <w:b/>
          <w:bCs/>
        </w:rPr>
        <w:t>30/PMF/2020</w:t>
      </w:r>
      <w:r>
        <w:rPr>
          <w:rFonts w:ascii="Arial" w:hAnsi="Arial" w:cs="Arial"/>
        </w:rPr>
        <w:t>, seus anexos e a proposta da Detentora desta Ata.</w:t>
      </w:r>
    </w:p>
    <w:p>
      <w:pPr>
        <w:jc w:val="both"/>
        <w:rPr>
          <w:rFonts w:ascii="Arial" w:hAnsi="Arial" w:cs="Arial"/>
          <w:b/>
          <w:bCs/>
        </w:rPr>
      </w:pPr>
    </w:p>
    <w:p>
      <w:pPr>
        <w:jc w:val="both"/>
        <w:rPr>
          <w:rFonts w:ascii="Arial" w:hAnsi="Arial" w:cs="Arial"/>
        </w:rPr>
      </w:pPr>
      <w:r>
        <w:rPr>
          <w:rFonts w:ascii="Arial" w:hAnsi="Arial" w:cs="Arial"/>
          <w:b/>
          <w:bCs/>
        </w:rPr>
        <w:t>2.</w:t>
      </w:r>
      <w:r>
        <w:rPr>
          <w:rFonts w:ascii="Arial" w:hAnsi="Arial" w:cs="Arial"/>
        </w:rPr>
        <w:t xml:space="preserve"> Os casos omissos serão resolvidos de acordo com a Lei Federal 8.666/93, suas alterações, com as disposições da Lei Federal 10.520/2002, pelo Decreto Municipal nº. 53/2013 e pelo Decreto Municipal n° 167, de 15/08/2018 (microempresa), no que não colidir as normas aplicáveis. Subsidiariamente, aplicar-se-ão os princípios gerais do direito.</w:t>
      </w:r>
    </w:p>
    <w:p>
      <w:pPr>
        <w:spacing w:line="220" w:lineRule="exact"/>
        <w:rPr>
          <w:rFonts w:ascii="Arial" w:hAnsi="Arial" w:cs="Arial"/>
          <w:b/>
          <w:bCs/>
        </w:rPr>
      </w:pPr>
    </w:p>
    <w:p>
      <w:pPr>
        <w:spacing w:line="220" w:lineRule="exact"/>
        <w:jc w:val="both"/>
        <w:rPr>
          <w:rFonts w:ascii="Arial" w:hAnsi="Arial" w:cs="Arial"/>
          <w:b/>
          <w:bCs/>
        </w:rPr>
      </w:pPr>
      <w:r>
        <w:rPr>
          <w:rFonts w:ascii="Arial" w:hAnsi="Arial" w:cs="Arial"/>
          <w:b/>
          <w:bCs/>
        </w:rPr>
        <w:t xml:space="preserve">Cláusula Décima Terceira – Do Foro </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bCs/>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Forquilhinha/SC, 03 de abril</w:t>
      </w:r>
      <w:bookmarkStart w:id="0" w:name="_GoBack"/>
      <w:bookmarkEnd w:id="0"/>
      <w:r>
        <w:rPr>
          <w:rFonts w:ascii="Arial" w:hAnsi="Arial" w:cs="Arial"/>
        </w:rPr>
        <w:t xml:space="preserve">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8504"/>
      </w:tblGrid>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DIMAS KAMMER</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Prefeito Municipal</w:t>
            </w:r>
          </w:p>
        </w:tc>
      </w:tr>
      <w:tr>
        <w:trPr>
          <w:jc w:val="center"/>
        </w:trPr>
        <w:tc>
          <w:tcPr>
            <w:tcW w:w="9545" w:type="dxa"/>
            <w:tcMar>
              <w:top w:w="0" w:type="dxa"/>
              <w:left w:w="108" w:type="dxa"/>
              <w:bottom w:w="0" w:type="dxa"/>
              <w:right w:w="108" w:type="dxa"/>
            </w:tcMar>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LIGA ATLÉTICA DA REGIÃO MINEIRA</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Empresa Detentora da Ata</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Representante Legal: Guilherme dos Santos Gomes</w:t>
            </w:r>
          </w:p>
        </w:tc>
      </w:tr>
      <w:tr>
        <w:trPr>
          <w:jc w:val="center"/>
        </w:trPr>
        <w:tc>
          <w:tcPr>
            <w:tcW w:w="9545" w:type="dxa"/>
            <w:tcMar>
              <w:top w:w="0" w:type="dxa"/>
              <w:left w:w="108" w:type="dxa"/>
              <w:bottom w:w="0" w:type="dxa"/>
              <w:right w:w="108" w:type="dxa"/>
            </w:tcMar>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LIGA ESPORTIVA SERRA MAR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Josemar </w:t>
            </w:r>
            <w:proofErr w:type="spellStart"/>
            <w:r>
              <w:rPr>
                <w:rFonts w:ascii="Arial" w:hAnsi="Arial" w:cs="Arial"/>
              </w:rPr>
              <w:t>Sacom</w:t>
            </w:r>
            <w:proofErr w:type="spellEnd"/>
          </w:p>
          <w:p>
            <w:pPr>
              <w:spacing w:line="220" w:lineRule="exact"/>
              <w:jc w:val="center"/>
              <w:rPr>
                <w:rFonts w:ascii="Arial" w:hAnsi="Arial" w:cs="Arial"/>
              </w:rPr>
            </w:pP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 xml:space="preserve">Fabio Roberto </w:t>
            </w:r>
            <w:proofErr w:type="spellStart"/>
            <w:r>
              <w:rPr>
                <w:rFonts w:ascii="Arial" w:hAnsi="Arial" w:cs="Arial"/>
              </w:rPr>
              <w:t>Pirola</w:t>
            </w:r>
            <w:proofErr w:type="spellEnd"/>
            <w:r>
              <w:rPr>
                <w:rFonts w:ascii="Arial" w:hAnsi="Arial" w:cs="Arial"/>
              </w:rPr>
              <w:t xml:space="preserve"> Pereira</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eastAsia="Calibri" w:hAnsi="Arial" w:cs="Arial"/>
        </w:rPr>
      </w:pPr>
    </w:p>
    <w:p>
      <w:pPr>
        <w:pStyle w:val="Normal1"/>
        <w:spacing w:line="230" w:lineRule="exact"/>
        <w:jc w:val="center"/>
        <w:rPr>
          <w:rFonts w:cs="Arial"/>
          <w:sz w:val="20"/>
          <w:shd w:val="clear" w:color="auto" w:fill="FFFFFF"/>
          <w:lang w:eastAsia="pt-BR"/>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31E9B"/>
    <w:multiLevelType w:val="multilevel"/>
    <w:tmpl w:val="BA502B2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47751D99"/>
    <w:multiLevelType w:val="hybridMultilevel"/>
    <w:tmpl w:val="C890F93C"/>
    <w:lvl w:ilvl="0" w:tplc="A72E380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EC2C0-78AB-4F41-BBF1-2FCD53FB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character" w:styleId="Hyperlink">
    <w:name w:val="Hyperlink"/>
    <w:uiPriority w:val="99"/>
    <w:rPr>
      <w:color w:val="0000FF"/>
      <w:u w:val="single"/>
    </w:rPr>
  </w:style>
  <w:style w:type="paragraph" w:styleId="Corpodetexto">
    <w:name w:val="Body Text"/>
    <w:basedOn w:val="Normal"/>
    <w:link w:val="CorpodetextoChar"/>
    <w:pPr>
      <w:ind w:right="-1"/>
      <w:jc w:val="both"/>
    </w:pPr>
    <w:rPr>
      <w:rFonts w:ascii="Arial" w:hAnsi="Arial"/>
      <w:sz w:val="22"/>
    </w:rPr>
  </w:style>
  <w:style w:type="character" w:customStyle="1" w:styleId="CorpodetextoChar">
    <w:name w:val="Corpo de texto Char"/>
    <w:basedOn w:val="Fontepargpadro"/>
    <w:link w:val="Corpodetexto"/>
    <w:rPr>
      <w:rFonts w:ascii="Arial" w:eastAsia="Times New Roman" w:hAnsi="Arial" w:cs="Times New Roman"/>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TextosemFormatao2">
    <w:name w:val="Texto sem Formatação2"/>
    <w:basedOn w:val="Normal"/>
    <w:rPr>
      <w:rFonts w:ascii="Courier New" w:hAnsi="Courier New"/>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quilhinha.sc.gov.b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2398</Words>
  <Characters>12952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5</cp:revision>
  <cp:lastPrinted>2020-04-23T14:17:00Z</cp:lastPrinted>
  <dcterms:created xsi:type="dcterms:W3CDTF">2020-03-17T12:46:00Z</dcterms:created>
  <dcterms:modified xsi:type="dcterms:W3CDTF">2020-04-23T14:18:00Z</dcterms:modified>
</cp:coreProperties>
</file>