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03</w:t>
      </w:r>
      <w:r>
        <w:rPr>
          <w:rFonts w:cs="Arial"/>
          <w:bCs/>
          <w:sz w:val="20"/>
        </w:rPr>
        <w:t>/FMS/2020</w:t>
      </w:r>
    </w:p>
    <w:p>
      <w:pPr>
        <w:spacing w:line="240" w:lineRule="exact"/>
        <w:jc w:val="center"/>
        <w:rPr>
          <w:rFonts w:ascii="Arial" w:hAnsi="Arial" w:cs="Arial"/>
          <w:b/>
        </w:rPr>
      </w:pPr>
      <w:r>
        <w:rPr>
          <w:rFonts w:ascii="Arial" w:hAnsi="Arial" w:cs="Arial"/>
          <w:b/>
        </w:rPr>
        <w:t>(Referente Pregão Presencial nº. 02/FMS/2020)</w:t>
      </w:r>
    </w:p>
    <w:p>
      <w:pPr>
        <w:pStyle w:val="normal0"/>
        <w:spacing w:line="260" w:lineRule="exact"/>
        <w:rPr>
          <w:rFonts w:cs="Arial"/>
          <w:bCs/>
          <w:sz w:val="20"/>
        </w:rPr>
      </w:pPr>
    </w:p>
    <w:p>
      <w:pPr>
        <w:pStyle w:val="normal0"/>
        <w:rPr>
          <w:rFonts w:cs="Arial"/>
          <w:sz w:val="20"/>
        </w:rPr>
      </w:pPr>
      <w:r>
        <w:rPr>
          <w:rFonts w:cs="Arial"/>
          <w:sz w:val="20"/>
        </w:rPr>
        <w:t xml:space="preserve">O FUNDO MUNICIPAL DE SAÚDE DE FORQUILHINHA, com sede na Rua João José Back, Centro - Paço Municipal 26 DE ABRIL - FORQUILHINHA-SC, inscrita no CNPJ nº. 10.540.697/0001-47, neste ato representado pelo Sr. DIMAS KAMMER, Prefeito Municipal, portador da Cédula de Identidade n° </w:t>
      </w:r>
      <w:r>
        <w:rPr>
          <w:rFonts w:cs="Arial"/>
          <w:sz w:val="20"/>
        </w:rPr>
        <w:t>1.328.011</w:t>
      </w:r>
      <w:r>
        <w:rPr>
          <w:rFonts w:cs="Arial"/>
          <w:sz w:val="20"/>
        </w:rPr>
        <w:t>, e inscrito no CPF sob o n°</w:t>
      </w:r>
      <w:r>
        <w:rPr>
          <w:rFonts w:cs="Arial"/>
          <w:sz w:val="20"/>
        </w:rPr>
        <w:t>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rPr>
          <w:rFonts w:cs="Arial"/>
          <w:sz w:val="20"/>
        </w:rPr>
      </w:pPr>
      <w:r>
        <w:rPr>
          <w:rFonts w:cs="Arial"/>
          <w:sz w:val="20"/>
        </w:rPr>
        <w:t>1-</w:t>
      </w:r>
      <w:r>
        <w:rPr>
          <w:rFonts w:cs="Arial"/>
          <w:sz w:val="20"/>
        </w:rPr>
        <w:t xml:space="preserve"> </w:t>
      </w:r>
      <w:r>
        <w:rPr>
          <w:rFonts w:cs="Arial"/>
          <w:sz w:val="20"/>
        </w:rPr>
        <w:t>CSE EQUIPAMENTOS E SERVIÇOS EIRELI LTDA</w:t>
      </w:r>
      <w:r>
        <w:rPr>
          <w:rFonts w:cs="Arial"/>
          <w:sz w:val="20"/>
        </w:rPr>
        <w:t xml:space="preserve"> inscrita no CNPJ nº. </w:t>
      </w:r>
      <w:r>
        <w:rPr>
          <w:rFonts w:cs="Arial"/>
          <w:sz w:val="20"/>
        </w:rPr>
        <w:t>02.994.122/0001-76</w:t>
      </w:r>
      <w:r>
        <w:rPr>
          <w:rFonts w:cs="Arial"/>
          <w:sz w:val="20"/>
        </w:rPr>
        <w:t xml:space="preserve"> estabelecida na </w:t>
      </w:r>
      <w:r>
        <w:rPr>
          <w:rFonts w:cs="Arial"/>
          <w:sz w:val="20"/>
        </w:rPr>
        <w:t xml:space="preserve">Rua Frei </w:t>
      </w:r>
      <w:proofErr w:type="spellStart"/>
      <w:r>
        <w:rPr>
          <w:rFonts w:cs="Arial"/>
          <w:sz w:val="20"/>
        </w:rPr>
        <w:t>Estanislau</w:t>
      </w:r>
      <w:proofErr w:type="spellEnd"/>
      <w:r>
        <w:rPr>
          <w:rFonts w:cs="Arial"/>
          <w:sz w:val="20"/>
        </w:rPr>
        <w:t xml:space="preserve"> Schaette</w:t>
      </w:r>
      <w:r>
        <w:rPr>
          <w:rFonts w:cs="Arial"/>
          <w:sz w:val="20"/>
        </w:rPr>
        <w:t>,</w:t>
      </w:r>
      <w:proofErr w:type="gramStart"/>
      <w:r>
        <w:rPr>
          <w:rFonts w:cs="Arial"/>
          <w:sz w:val="20"/>
        </w:rPr>
        <w:t>239,Bairro</w:t>
      </w:r>
      <w:proofErr w:type="gramEnd"/>
      <w:r>
        <w:rPr>
          <w:rFonts w:cs="Arial"/>
          <w:sz w:val="20"/>
        </w:rPr>
        <w:t xml:space="preserve"> Água Verde</w:t>
      </w:r>
      <w:r>
        <w:rPr>
          <w:rFonts w:cs="Arial"/>
          <w:sz w:val="20"/>
        </w:rPr>
        <w:t xml:space="preserve"> em </w:t>
      </w:r>
      <w:r>
        <w:rPr>
          <w:rFonts w:cs="Arial"/>
          <w:sz w:val="20"/>
        </w:rPr>
        <w:t>Blumenau/SC</w:t>
      </w:r>
      <w:r>
        <w:rPr>
          <w:rFonts w:cs="Arial"/>
          <w:sz w:val="20"/>
        </w:rPr>
        <w:t xml:space="preserve">, neste ato representada pelo Sr. </w:t>
      </w:r>
      <w:r>
        <w:rPr>
          <w:rFonts w:cs="Arial"/>
          <w:sz w:val="20"/>
        </w:rPr>
        <w:t xml:space="preserve">Lúcio </w:t>
      </w:r>
      <w:proofErr w:type="spellStart"/>
      <w:r>
        <w:rPr>
          <w:rFonts w:cs="Arial"/>
          <w:sz w:val="20"/>
        </w:rPr>
        <w:t>Bareta</w:t>
      </w:r>
      <w:proofErr w:type="spellEnd"/>
      <w:r>
        <w:rPr>
          <w:rFonts w:cs="Arial"/>
          <w:sz w:val="20"/>
        </w:rPr>
        <w:t xml:space="preserve"> Todorov</w:t>
      </w:r>
      <w:r>
        <w:rPr>
          <w:rFonts w:cs="Arial"/>
          <w:sz w:val="20"/>
        </w:rPr>
        <w:t xml:space="preserve">, brasileiro, CI </w:t>
      </w:r>
      <w:r>
        <w:rPr>
          <w:rFonts w:cs="Arial"/>
          <w:sz w:val="20"/>
        </w:rPr>
        <w:t>6.269.358</w:t>
      </w:r>
      <w:r>
        <w:rPr>
          <w:rFonts w:cs="Arial"/>
          <w:sz w:val="20"/>
        </w:rPr>
        <w:t xml:space="preserve">, CPF </w:t>
      </w:r>
      <w:r>
        <w:rPr>
          <w:rFonts w:cs="Arial"/>
          <w:sz w:val="20"/>
        </w:rPr>
        <w:t>127.734.758-10</w:t>
      </w:r>
      <w:r>
        <w:rPr>
          <w:rFonts w:cs="Arial"/>
          <w:sz w:val="20"/>
        </w:rPr>
        <w:t xml:space="preserve">, </w:t>
      </w:r>
    </w:p>
    <w:p>
      <w:pPr>
        <w:pStyle w:val="normal0"/>
        <w:rPr>
          <w:rFonts w:cs="Arial"/>
          <w:sz w:val="20"/>
        </w:rPr>
      </w:pPr>
    </w:p>
    <w:p>
      <w:pPr>
        <w:pStyle w:val="normal0"/>
        <w:rPr>
          <w:rFonts w:cs="Arial"/>
          <w:sz w:val="20"/>
        </w:rPr>
      </w:pPr>
      <w:r>
        <w:rPr>
          <w:rFonts w:cs="Arial"/>
          <w:sz w:val="20"/>
        </w:rPr>
        <w:t>2- ODONTOMEDIPRODUTOS ODONTOLOGICOS E HOSPITALARES LTDA</w:t>
      </w:r>
      <w:r>
        <w:rPr>
          <w:rFonts w:cs="Arial"/>
          <w:sz w:val="20"/>
        </w:rPr>
        <w:t xml:space="preserve"> inscrita no CNPJ nº. </w:t>
      </w:r>
      <w:r>
        <w:rPr>
          <w:rFonts w:cs="Arial"/>
          <w:sz w:val="20"/>
        </w:rPr>
        <w:t>06.194.440/0001-03</w:t>
      </w:r>
      <w:r>
        <w:rPr>
          <w:rFonts w:cs="Arial"/>
          <w:sz w:val="20"/>
        </w:rPr>
        <w:t xml:space="preserve"> estabelecida na </w:t>
      </w:r>
      <w:r>
        <w:rPr>
          <w:rFonts w:cs="Arial"/>
          <w:sz w:val="20"/>
        </w:rPr>
        <w:t xml:space="preserve">Avenida Luiz </w:t>
      </w:r>
      <w:proofErr w:type="spellStart"/>
      <w:r>
        <w:rPr>
          <w:rFonts w:cs="Arial"/>
          <w:sz w:val="20"/>
        </w:rPr>
        <w:t>Antonio</w:t>
      </w:r>
      <w:proofErr w:type="spellEnd"/>
      <w:r>
        <w:rPr>
          <w:rFonts w:cs="Arial"/>
          <w:sz w:val="20"/>
        </w:rPr>
        <w:t xml:space="preserve"> Faedo,</w:t>
      </w:r>
      <w:proofErr w:type="gramStart"/>
      <w:r>
        <w:rPr>
          <w:rFonts w:cs="Arial"/>
          <w:sz w:val="20"/>
        </w:rPr>
        <w:t>1612</w:t>
      </w:r>
      <w:r>
        <w:rPr>
          <w:rFonts w:cs="Arial"/>
          <w:sz w:val="20"/>
        </w:rPr>
        <w:t>,Bairro</w:t>
      </w:r>
      <w:proofErr w:type="gramEnd"/>
      <w:r>
        <w:rPr>
          <w:rFonts w:cs="Arial"/>
          <w:sz w:val="20"/>
        </w:rPr>
        <w:t xml:space="preserve"> </w:t>
      </w:r>
      <w:r>
        <w:rPr>
          <w:rFonts w:cs="Arial"/>
          <w:sz w:val="20"/>
        </w:rPr>
        <w:t>Industrial</w:t>
      </w:r>
      <w:r>
        <w:rPr>
          <w:rFonts w:cs="Arial"/>
          <w:sz w:val="20"/>
        </w:rPr>
        <w:t xml:space="preserve"> em </w:t>
      </w:r>
      <w:r>
        <w:rPr>
          <w:rFonts w:cs="Arial"/>
          <w:sz w:val="20"/>
        </w:rPr>
        <w:t>Francisco Beltrão/PR</w:t>
      </w:r>
      <w:r>
        <w:rPr>
          <w:rFonts w:cs="Arial"/>
          <w:sz w:val="20"/>
        </w:rPr>
        <w:t xml:space="preserve">, neste ato representada pelo Sr. </w:t>
      </w:r>
      <w:proofErr w:type="spellStart"/>
      <w:r>
        <w:rPr>
          <w:rFonts w:cs="Arial"/>
          <w:sz w:val="20"/>
        </w:rPr>
        <w:t>Geisson</w:t>
      </w:r>
      <w:proofErr w:type="spellEnd"/>
      <w:r>
        <w:rPr>
          <w:rFonts w:cs="Arial"/>
          <w:sz w:val="20"/>
        </w:rPr>
        <w:t xml:space="preserve"> </w:t>
      </w:r>
      <w:proofErr w:type="spellStart"/>
      <w:r>
        <w:rPr>
          <w:rFonts w:cs="Arial"/>
          <w:sz w:val="20"/>
        </w:rPr>
        <w:t>Luis</w:t>
      </w:r>
      <w:proofErr w:type="spellEnd"/>
      <w:r>
        <w:rPr>
          <w:rFonts w:cs="Arial"/>
          <w:sz w:val="20"/>
        </w:rPr>
        <w:t xml:space="preserve"> de Paula Gonçalves Guimarães</w:t>
      </w:r>
      <w:r>
        <w:rPr>
          <w:rFonts w:cs="Arial"/>
          <w:sz w:val="20"/>
        </w:rPr>
        <w:t xml:space="preserve">, brasileiro, CI </w:t>
      </w:r>
      <w:r>
        <w:rPr>
          <w:rFonts w:cs="Arial"/>
          <w:sz w:val="20"/>
        </w:rPr>
        <w:t>12759516-0</w:t>
      </w:r>
      <w:r>
        <w:rPr>
          <w:rFonts w:cs="Arial"/>
          <w:sz w:val="20"/>
        </w:rPr>
        <w:t xml:space="preserve">, CPF </w:t>
      </w:r>
      <w:r>
        <w:rPr>
          <w:rFonts w:cs="Arial"/>
          <w:sz w:val="20"/>
        </w:rPr>
        <w:t>098.361.709-01</w:t>
      </w:r>
      <w:r>
        <w:rPr>
          <w:rFonts w:cs="Arial"/>
          <w:sz w:val="20"/>
        </w:rPr>
        <w:t xml:space="preserve">, </w:t>
      </w:r>
    </w:p>
    <w:p>
      <w:pPr>
        <w:pStyle w:val="normal0"/>
        <w:rPr>
          <w:rFonts w:cs="Arial"/>
          <w:sz w:val="20"/>
        </w:rPr>
      </w:pPr>
    </w:p>
    <w:p>
      <w:pPr>
        <w:pStyle w:val="normal0"/>
        <w:rPr>
          <w:rFonts w:cs="Arial"/>
          <w:sz w:val="20"/>
        </w:rPr>
      </w:pPr>
      <w:r>
        <w:rPr>
          <w:rFonts w:cs="Arial"/>
          <w:sz w:val="20"/>
        </w:rPr>
        <w:t>3- MEDICENTRO COMÉRCIO DE MEDICAMENTOS EIRELI EPP</w:t>
      </w:r>
      <w:r>
        <w:rPr>
          <w:rFonts w:cs="Arial"/>
          <w:sz w:val="20"/>
        </w:rPr>
        <w:t xml:space="preserve"> inscrita no CNPJ nº. </w:t>
      </w:r>
      <w:r>
        <w:rPr>
          <w:rFonts w:cs="Arial"/>
          <w:sz w:val="20"/>
        </w:rPr>
        <w:t>27.105.456/0001-72</w:t>
      </w:r>
      <w:r>
        <w:rPr>
          <w:rFonts w:cs="Arial"/>
          <w:sz w:val="20"/>
        </w:rPr>
        <w:t xml:space="preserve"> estabelecida na Rua </w:t>
      </w:r>
      <w:proofErr w:type="spellStart"/>
      <w:r>
        <w:rPr>
          <w:rFonts w:cs="Arial"/>
          <w:sz w:val="20"/>
        </w:rPr>
        <w:t>Pascola</w:t>
      </w:r>
      <w:proofErr w:type="spellEnd"/>
      <w:r>
        <w:rPr>
          <w:rFonts w:cs="Arial"/>
          <w:sz w:val="20"/>
        </w:rPr>
        <w:t xml:space="preserve"> Gomes Librelotto</w:t>
      </w:r>
      <w:r>
        <w:rPr>
          <w:rFonts w:cs="Arial"/>
          <w:sz w:val="20"/>
        </w:rPr>
        <w:t>,</w:t>
      </w:r>
      <w:r>
        <w:rPr>
          <w:rFonts w:cs="Arial"/>
          <w:sz w:val="20"/>
        </w:rPr>
        <w:t>20</w:t>
      </w:r>
      <w:r>
        <w:rPr>
          <w:rFonts w:cs="Arial"/>
          <w:sz w:val="20"/>
        </w:rPr>
        <w:t xml:space="preserve">, em </w:t>
      </w:r>
      <w:r>
        <w:rPr>
          <w:rFonts w:cs="Arial"/>
          <w:sz w:val="20"/>
        </w:rPr>
        <w:t>Santa Maria /RS</w:t>
      </w:r>
      <w:r>
        <w:rPr>
          <w:rFonts w:cs="Arial"/>
          <w:sz w:val="20"/>
        </w:rPr>
        <w:t xml:space="preserve">, neste ato representada pelo Sr. </w:t>
      </w:r>
      <w:r>
        <w:rPr>
          <w:rFonts w:cs="Arial"/>
          <w:sz w:val="20"/>
        </w:rPr>
        <w:t xml:space="preserve">Sergio Carlos </w:t>
      </w:r>
      <w:proofErr w:type="spellStart"/>
      <w:r>
        <w:rPr>
          <w:rFonts w:cs="Arial"/>
          <w:sz w:val="20"/>
        </w:rPr>
        <w:t>Zipf</w:t>
      </w:r>
      <w:proofErr w:type="spellEnd"/>
      <w:r>
        <w:rPr>
          <w:rFonts w:cs="Arial"/>
          <w:sz w:val="20"/>
        </w:rPr>
        <w:t xml:space="preserve">, brasileiro, CI </w:t>
      </w:r>
      <w:r>
        <w:rPr>
          <w:rFonts w:cs="Arial"/>
          <w:sz w:val="20"/>
        </w:rPr>
        <w:t>579525</w:t>
      </w:r>
      <w:r>
        <w:rPr>
          <w:rFonts w:cs="Arial"/>
          <w:sz w:val="20"/>
        </w:rPr>
        <w:t xml:space="preserve">, CPF </w:t>
      </w:r>
      <w:r>
        <w:rPr>
          <w:rFonts w:cs="Arial"/>
          <w:sz w:val="20"/>
        </w:rPr>
        <w:t>391.128.539-68</w:t>
      </w:r>
      <w:r>
        <w:rPr>
          <w:rFonts w:cs="Arial"/>
          <w:sz w:val="20"/>
        </w:rPr>
        <w:t xml:space="preserve">, </w:t>
      </w:r>
    </w:p>
    <w:p>
      <w:pPr>
        <w:pStyle w:val="normal0"/>
        <w:rPr>
          <w:rFonts w:cs="Arial"/>
          <w:sz w:val="20"/>
        </w:rPr>
      </w:pPr>
    </w:p>
    <w:p>
      <w:pPr>
        <w:pStyle w:val="normal0"/>
        <w:rPr>
          <w:rFonts w:cs="Arial"/>
          <w:sz w:val="20"/>
        </w:rPr>
      </w:pPr>
      <w:r>
        <w:rPr>
          <w:rFonts w:cs="Arial"/>
          <w:sz w:val="20"/>
        </w:rPr>
        <w:t>4-MEDEFE PRODUTOS MÉDICOS HOSPITALARES</w:t>
      </w:r>
      <w:r>
        <w:rPr>
          <w:rFonts w:cs="Arial"/>
          <w:sz w:val="20"/>
        </w:rPr>
        <w:t xml:space="preserve"> LTDA inscrita no CNPJ nº. </w:t>
      </w:r>
      <w:r>
        <w:rPr>
          <w:rFonts w:cs="Arial"/>
          <w:sz w:val="20"/>
        </w:rPr>
        <w:t>25.463.374/0001-74</w:t>
      </w:r>
      <w:r>
        <w:rPr>
          <w:rFonts w:cs="Arial"/>
          <w:sz w:val="20"/>
        </w:rPr>
        <w:t xml:space="preserve"> estabelecida na Rua </w:t>
      </w:r>
      <w:proofErr w:type="spellStart"/>
      <w:r>
        <w:rPr>
          <w:rFonts w:cs="Arial"/>
          <w:sz w:val="20"/>
        </w:rPr>
        <w:t>Gouber</w:t>
      </w:r>
      <w:proofErr w:type="spellEnd"/>
      <w:r>
        <w:rPr>
          <w:rFonts w:cs="Arial"/>
          <w:sz w:val="20"/>
        </w:rPr>
        <w:t xml:space="preserve"> Pinto Dionisio</w:t>
      </w:r>
      <w:r>
        <w:rPr>
          <w:rFonts w:cs="Arial"/>
          <w:sz w:val="20"/>
        </w:rPr>
        <w:t>,</w:t>
      </w:r>
      <w:proofErr w:type="gramStart"/>
      <w:r>
        <w:rPr>
          <w:rFonts w:cs="Arial"/>
          <w:sz w:val="20"/>
        </w:rPr>
        <w:t>55</w:t>
      </w:r>
      <w:r>
        <w:rPr>
          <w:rFonts w:cs="Arial"/>
          <w:sz w:val="20"/>
        </w:rPr>
        <w:t>,Bairro</w:t>
      </w:r>
      <w:proofErr w:type="gramEnd"/>
      <w:r>
        <w:rPr>
          <w:rFonts w:cs="Arial"/>
          <w:sz w:val="20"/>
        </w:rPr>
        <w:t xml:space="preserve"> </w:t>
      </w:r>
      <w:r>
        <w:rPr>
          <w:rFonts w:cs="Arial"/>
          <w:sz w:val="20"/>
        </w:rPr>
        <w:t>Cidade Industrial</w:t>
      </w:r>
      <w:r>
        <w:rPr>
          <w:rFonts w:cs="Arial"/>
          <w:sz w:val="20"/>
        </w:rPr>
        <w:t xml:space="preserve"> em </w:t>
      </w:r>
      <w:r>
        <w:rPr>
          <w:rFonts w:cs="Arial"/>
          <w:sz w:val="20"/>
        </w:rPr>
        <w:t>Curitiba/PR</w:t>
      </w:r>
      <w:r>
        <w:rPr>
          <w:rFonts w:cs="Arial"/>
          <w:sz w:val="20"/>
        </w:rPr>
        <w:t xml:space="preserve">, neste ato representada pelo </w:t>
      </w:r>
      <w:proofErr w:type="spellStart"/>
      <w:r>
        <w:rPr>
          <w:rFonts w:cs="Arial"/>
          <w:sz w:val="20"/>
        </w:rPr>
        <w:t>Sr.</w:t>
      </w:r>
      <w:r>
        <w:rPr>
          <w:rFonts w:cs="Arial"/>
          <w:sz w:val="20"/>
        </w:rPr>
        <w:t>Adalberto</w:t>
      </w:r>
      <w:proofErr w:type="spellEnd"/>
      <w:r>
        <w:rPr>
          <w:rFonts w:cs="Arial"/>
          <w:sz w:val="20"/>
        </w:rPr>
        <w:t xml:space="preserve"> Luiz Reese</w:t>
      </w:r>
      <w:r>
        <w:rPr>
          <w:rFonts w:cs="Arial"/>
          <w:sz w:val="20"/>
        </w:rPr>
        <w:t xml:space="preserve">, brasileiro, CI </w:t>
      </w:r>
      <w:r>
        <w:rPr>
          <w:rFonts w:cs="Arial"/>
          <w:sz w:val="20"/>
        </w:rPr>
        <w:t>1.451.872</w:t>
      </w:r>
      <w:r>
        <w:rPr>
          <w:rFonts w:cs="Arial"/>
          <w:sz w:val="20"/>
        </w:rPr>
        <w:t xml:space="preserve">, CPF </w:t>
      </w:r>
      <w:r>
        <w:rPr>
          <w:rFonts w:cs="Arial"/>
          <w:sz w:val="20"/>
        </w:rPr>
        <w:t>539.573.699-91,</w:t>
      </w:r>
    </w:p>
    <w:p>
      <w:pPr>
        <w:pStyle w:val="normal0"/>
        <w:rPr>
          <w:rFonts w:cs="Arial"/>
          <w:sz w:val="20"/>
        </w:rPr>
      </w:pPr>
    </w:p>
    <w:p>
      <w:pPr>
        <w:pStyle w:val="normal0"/>
        <w:rPr>
          <w:rFonts w:cs="Arial"/>
          <w:sz w:val="20"/>
        </w:rPr>
      </w:pPr>
      <w:r>
        <w:rPr>
          <w:rFonts w:cs="Arial"/>
          <w:sz w:val="20"/>
        </w:rPr>
        <w:t>5-MAYCON Will Eireli</w:t>
      </w:r>
      <w:r>
        <w:rPr>
          <w:rFonts w:cs="Arial"/>
          <w:sz w:val="20"/>
        </w:rPr>
        <w:t xml:space="preserve"> inscrita no CNPJ nº. </w:t>
      </w:r>
      <w:r>
        <w:rPr>
          <w:rFonts w:cs="Arial"/>
          <w:sz w:val="20"/>
        </w:rPr>
        <w:t>18.712.730/0001-80</w:t>
      </w:r>
      <w:r>
        <w:rPr>
          <w:rFonts w:cs="Arial"/>
          <w:sz w:val="20"/>
        </w:rPr>
        <w:t xml:space="preserve"> estabelecida na Rua </w:t>
      </w:r>
      <w:r>
        <w:rPr>
          <w:rFonts w:cs="Arial"/>
          <w:sz w:val="20"/>
        </w:rPr>
        <w:t xml:space="preserve">Alvorada,180, </w:t>
      </w:r>
      <w:r>
        <w:rPr>
          <w:rFonts w:cs="Arial"/>
          <w:sz w:val="20"/>
        </w:rPr>
        <w:t xml:space="preserve">Bairro </w:t>
      </w:r>
      <w:r>
        <w:rPr>
          <w:rFonts w:cs="Arial"/>
          <w:sz w:val="20"/>
        </w:rPr>
        <w:t xml:space="preserve">Flor de </w:t>
      </w:r>
      <w:proofErr w:type="spellStart"/>
      <w:r>
        <w:rPr>
          <w:rFonts w:cs="Arial"/>
          <w:sz w:val="20"/>
        </w:rPr>
        <w:t>Nápolis</w:t>
      </w:r>
      <w:proofErr w:type="spellEnd"/>
      <w:r>
        <w:rPr>
          <w:rFonts w:cs="Arial"/>
          <w:sz w:val="20"/>
        </w:rPr>
        <w:t xml:space="preserve"> </w:t>
      </w:r>
      <w:r>
        <w:rPr>
          <w:rFonts w:cs="Arial"/>
          <w:sz w:val="20"/>
        </w:rPr>
        <w:t xml:space="preserve">em </w:t>
      </w:r>
      <w:r>
        <w:rPr>
          <w:rFonts w:cs="Arial"/>
          <w:sz w:val="20"/>
        </w:rPr>
        <w:t>São José</w:t>
      </w:r>
      <w:r>
        <w:rPr>
          <w:rFonts w:cs="Arial"/>
          <w:sz w:val="20"/>
        </w:rPr>
        <w:t xml:space="preserve">/SC, neste ato representada pelo Sr. </w:t>
      </w:r>
      <w:r>
        <w:rPr>
          <w:rFonts w:cs="Arial"/>
          <w:sz w:val="20"/>
        </w:rPr>
        <w:t>Luiz Fernando de Oliveira</w:t>
      </w:r>
      <w:r>
        <w:rPr>
          <w:rFonts w:cs="Arial"/>
          <w:sz w:val="20"/>
        </w:rPr>
        <w:t xml:space="preserve">, brasileiro, CI </w:t>
      </w:r>
      <w:r>
        <w:rPr>
          <w:rFonts w:cs="Arial"/>
          <w:sz w:val="20"/>
        </w:rPr>
        <w:t>3.218.079, CPF 910.438.169-68</w:t>
      </w:r>
      <w:r>
        <w:rPr>
          <w:rFonts w:cs="Arial"/>
          <w:sz w:val="20"/>
        </w:rPr>
        <w:t xml:space="preserve">, </w:t>
      </w:r>
    </w:p>
    <w:p>
      <w:pPr>
        <w:pStyle w:val="normal0"/>
        <w:rPr>
          <w:rFonts w:cs="Arial"/>
          <w:sz w:val="20"/>
        </w:rPr>
      </w:pPr>
    </w:p>
    <w:p>
      <w:pPr>
        <w:pStyle w:val="normal0"/>
        <w:rPr>
          <w:rFonts w:cs="Arial"/>
          <w:sz w:val="20"/>
        </w:rPr>
      </w:pPr>
      <w:r>
        <w:rPr>
          <w:rFonts w:cs="Arial"/>
          <w:sz w:val="20"/>
        </w:rPr>
        <w:t xml:space="preserve">6- HENRIQUE DE OLIVEIRA PRADO </w:t>
      </w:r>
      <w:r>
        <w:rPr>
          <w:rFonts w:cs="Arial"/>
          <w:sz w:val="20"/>
        </w:rPr>
        <w:t xml:space="preserve">inscrita no CNPJ nº. </w:t>
      </w:r>
      <w:r>
        <w:rPr>
          <w:rFonts w:cs="Arial"/>
          <w:sz w:val="20"/>
        </w:rPr>
        <w:t xml:space="preserve">26.583.983/001-20 </w:t>
      </w:r>
      <w:r>
        <w:rPr>
          <w:rFonts w:cs="Arial"/>
          <w:sz w:val="20"/>
        </w:rPr>
        <w:t xml:space="preserve">estabelecida na Rua </w:t>
      </w:r>
      <w:r>
        <w:rPr>
          <w:rFonts w:cs="Arial"/>
          <w:sz w:val="20"/>
        </w:rPr>
        <w:t>Joaquim Carneiro</w:t>
      </w:r>
      <w:r>
        <w:rPr>
          <w:rFonts w:cs="Arial"/>
          <w:sz w:val="20"/>
        </w:rPr>
        <w:t>,</w:t>
      </w:r>
      <w:r>
        <w:rPr>
          <w:rFonts w:cs="Arial"/>
          <w:sz w:val="20"/>
        </w:rPr>
        <w:t>135</w:t>
      </w:r>
      <w:r>
        <w:rPr>
          <w:rFonts w:cs="Arial"/>
          <w:sz w:val="20"/>
        </w:rPr>
        <w:t>,</w:t>
      </w:r>
      <w:r>
        <w:rPr>
          <w:rFonts w:cs="Arial"/>
          <w:sz w:val="20"/>
        </w:rPr>
        <w:t xml:space="preserve"> Bairro Capoeiras</w:t>
      </w:r>
      <w:r>
        <w:rPr>
          <w:rFonts w:cs="Arial"/>
          <w:sz w:val="20"/>
        </w:rPr>
        <w:t xml:space="preserve"> em </w:t>
      </w:r>
      <w:r>
        <w:rPr>
          <w:rFonts w:cs="Arial"/>
          <w:sz w:val="20"/>
        </w:rPr>
        <w:t>Florianópolis</w:t>
      </w:r>
      <w:r>
        <w:rPr>
          <w:rFonts w:cs="Arial"/>
          <w:sz w:val="20"/>
        </w:rPr>
        <w:t xml:space="preserve">/SC, neste ato representada pelo Sr. </w:t>
      </w:r>
      <w:r>
        <w:rPr>
          <w:rFonts w:cs="Arial"/>
          <w:sz w:val="20"/>
        </w:rPr>
        <w:t>Henrique Oliveira Prado</w:t>
      </w:r>
      <w:r>
        <w:rPr>
          <w:rFonts w:cs="Arial"/>
          <w:sz w:val="20"/>
        </w:rPr>
        <w:t xml:space="preserve">, brasileiro, CI </w:t>
      </w:r>
      <w:r>
        <w:rPr>
          <w:rFonts w:cs="Arial"/>
          <w:sz w:val="20"/>
        </w:rPr>
        <w:t>3091902738</w:t>
      </w:r>
      <w:r>
        <w:rPr>
          <w:rFonts w:cs="Arial"/>
          <w:sz w:val="20"/>
        </w:rPr>
        <w:t xml:space="preserve">, CPF </w:t>
      </w:r>
      <w:r>
        <w:rPr>
          <w:rFonts w:cs="Arial"/>
          <w:sz w:val="20"/>
        </w:rPr>
        <w:t>001.259.410-56</w:t>
      </w:r>
      <w:r>
        <w:rPr>
          <w:rFonts w:cs="Arial"/>
          <w:sz w:val="20"/>
        </w:rPr>
        <w:t xml:space="preserve">, </w:t>
      </w:r>
    </w:p>
    <w:p>
      <w:pPr>
        <w:pStyle w:val="normal0"/>
        <w:rPr>
          <w:rFonts w:cs="Arial"/>
          <w:sz w:val="20"/>
        </w:rPr>
      </w:pPr>
    </w:p>
    <w:p>
      <w:pPr>
        <w:pStyle w:val="normal0"/>
        <w:rPr>
          <w:rFonts w:cs="Arial"/>
          <w:sz w:val="20"/>
        </w:rPr>
      </w:pPr>
      <w:r>
        <w:rPr>
          <w:rFonts w:cs="Arial"/>
          <w:sz w:val="20"/>
        </w:rPr>
        <w:t>7- ISAMED MATERIAIS MÉDICOS HOSPITALARES EIRELLI ME</w:t>
      </w:r>
      <w:r>
        <w:rPr>
          <w:rFonts w:cs="Arial"/>
          <w:sz w:val="20"/>
        </w:rPr>
        <w:t xml:space="preserve"> inscrita no CNPJ nº. </w:t>
      </w:r>
      <w:r>
        <w:rPr>
          <w:rFonts w:cs="Arial"/>
          <w:sz w:val="20"/>
        </w:rPr>
        <w:t>05.948.061/0001-07</w:t>
      </w:r>
      <w:r>
        <w:rPr>
          <w:rFonts w:cs="Arial"/>
          <w:sz w:val="20"/>
        </w:rPr>
        <w:t xml:space="preserve"> estabelecida na Rua </w:t>
      </w:r>
      <w:r>
        <w:rPr>
          <w:rFonts w:cs="Arial"/>
          <w:sz w:val="20"/>
        </w:rPr>
        <w:t xml:space="preserve">15 de novembro, 132, </w:t>
      </w:r>
      <w:r>
        <w:rPr>
          <w:rFonts w:cs="Arial"/>
          <w:sz w:val="20"/>
        </w:rPr>
        <w:t xml:space="preserve">Bairro </w:t>
      </w:r>
      <w:r>
        <w:rPr>
          <w:rFonts w:cs="Arial"/>
          <w:sz w:val="20"/>
        </w:rPr>
        <w:t>Centro</w:t>
      </w:r>
      <w:r>
        <w:rPr>
          <w:rFonts w:cs="Arial"/>
          <w:sz w:val="20"/>
        </w:rPr>
        <w:t xml:space="preserve"> em </w:t>
      </w:r>
      <w:r>
        <w:rPr>
          <w:rFonts w:cs="Arial"/>
          <w:sz w:val="20"/>
        </w:rPr>
        <w:t>Orleans</w:t>
      </w:r>
      <w:r>
        <w:rPr>
          <w:rFonts w:cs="Arial"/>
          <w:sz w:val="20"/>
        </w:rPr>
        <w:t xml:space="preserve">/SC, neste ato representada pelo Sr. </w:t>
      </w:r>
      <w:r>
        <w:rPr>
          <w:rFonts w:cs="Arial"/>
          <w:sz w:val="20"/>
        </w:rPr>
        <w:t>Felipe Perito Cardoso</w:t>
      </w:r>
      <w:r>
        <w:rPr>
          <w:rFonts w:cs="Arial"/>
          <w:sz w:val="20"/>
        </w:rPr>
        <w:t xml:space="preserve">, brasileiro, CI </w:t>
      </w:r>
      <w:r>
        <w:rPr>
          <w:rFonts w:cs="Arial"/>
          <w:sz w:val="20"/>
        </w:rPr>
        <w:t>4437621</w:t>
      </w:r>
      <w:r>
        <w:rPr>
          <w:rFonts w:cs="Arial"/>
          <w:sz w:val="20"/>
        </w:rPr>
        <w:t xml:space="preserve">, CPF </w:t>
      </w:r>
      <w:r>
        <w:rPr>
          <w:rFonts w:cs="Arial"/>
          <w:sz w:val="20"/>
        </w:rPr>
        <w:t>043.657.269-94</w:t>
      </w:r>
      <w:r>
        <w:rPr>
          <w:rFonts w:cs="Arial"/>
          <w:sz w:val="20"/>
        </w:rPr>
        <w:t xml:space="preserve">, </w:t>
      </w:r>
    </w:p>
    <w:p>
      <w:pPr>
        <w:pStyle w:val="normal0"/>
        <w:rPr>
          <w:rFonts w:cs="Arial"/>
          <w:sz w:val="20"/>
        </w:rPr>
      </w:pPr>
    </w:p>
    <w:p>
      <w:pPr>
        <w:pStyle w:val="normal0"/>
        <w:rPr>
          <w:rFonts w:cs="Arial"/>
          <w:sz w:val="20"/>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02/FMS/2020,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A presente ATA tem por objetivo estabelecer cláusulas e condições gerais para REGISTRAR PREÇO para aquisição de material médico, para atendimento as unidades da rede municipal de saúde de Forquilhinha/SC,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objeto será solicitado de acordo com a necessidade do Município de Forquilhinha, </w:t>
      </w:r>
      <w:r>
        <w:rPr>
          <w:rFonts w:eastAsia="Lucida Sans Unicode" w:cs="Arial"/>
          <w:bCs/>
          <w:sz w:val="20"/>
          <w:lang/>
        </w:rPr>
        <w:t>em perfeito estado de conservação, com as respectivas garantias de validade, data de validade superior a 01 (um) ano, em horário a ser estabelecido, conforme o produto, através do departamento do almoxarifado.</w:t>
      </w:r>
    </w:p>
    <w:p>
      <w:pPr>
        <w:spacing w:line="220" w:lineRule="exact"/>
        <w:jc w:val="both"/>
        <w:rPr>
          <w:rFonts w:ascii="Arial" w:hAnsi="Arial" w:cs="Arial"/>
        </w:rPr>
      </w:pPr>
      <w:r>
        <w:rPr>
          <w:rFonts w:ascii="Arial" w:hAnsi="Arial" w:cs="Arial"/>
          <w:b/>
        </w:rPr>
        <w:t xml:space="preserve">1.3. </w:t>
      </w:r>
      <w:r>
        <w:rPr>
          <w:rFonts w:ascii="Arial" w:hAnsi="Arial" w:cs="Arial"/>
        </w:rPr>
        <w:t>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1.4. </w:t>
      </w:r>
      <w:r>
        <w:rPr>
          <w:rFonts w:ascii="Arial" w:hAnsi="Arial" w:cs="Arial"/>
        </w:rPr>
        <w:t>O prazo de entrega a ser exigido nas requisições será de 10 dias consecutivos a partir da data de recebimento das mesmas.</w:t>
      </w:r>
    </w:p>
    <w:p>
      <w:pPr>
        <w:spacing w:line="220" w:lineRule="exact"/>
        <w:jc w:val="both"/>
        <w:rPr>
          <w:rFonts w:ascii="Arial" w:hAnsi="Arial" w:cs="Arial"/>
        </w:rPr>
      </w:pPr>
      <w:r>
        <w:rPr>
          <w:rFonts w:ascii="Arial" w:hAnsi="Arial" w:cs="Arial"/>
          <w:b/>
        </w:rPr>
        <w:t>1.5.</w:t>
      </w:r>
      <w:r>
        <w:rPr>
          <w:rFonts w:ascii="Arial" w:hAnsi="Arial" w:cs="Arial"/>
        </w:rPr>
        <w:t xml:space="preserve"> O prazo de validade dos produtos deverá ser de no mínimo 12 (doze) meses, contados a partir da data da entrega dos mesmos.</w:t>
      </w:r>
    </w:p>
    <w:p>
      <w:pPr>
        <w:spacing w:line="230" w:lineRule="exact"/>
        <w:jc w:val="both"/>
        <w:rPr>
          <w:rFonts w:ascii="Arial" w:eastAsia="Lucida Sans Unicode" w:hAnsi="Arial" w:cs="Arial"/>
          <w:b/>
          <w:bCs/>
          <w:lang/>
        </w:rPr>
      </w:pPr>
      <w:r>
        <w:rPr>
          <w:rFonts w:ascii="Arial" w:hAnsi="Arial" w:cs="Arial"/>
          <w:b/>
        </w:rPr>
        <w:t>1.6.</w:t>
      </w:r>
      <w:r>
        <w:rPr>
          <w:rFonts w:ascii="Arial" w:hAnsi="Arial" w:cs="Arial"/>
        </w:rPr>
        <w:t xml:space="preserve"> </w:t>
      </w:r>
      <w:r>
        <w:rPr>
          <w:rFonts w:ascii="Arial" w:eastAsia="Lucida Sans Unicode" w:hAnsi="Arial" w:cs="Arial"/>
          <w:bCs/>
          <w:lang/>
        </w:rPr>
        <w:t>Os materiais com data de validade inferior a 01(um) ano, quando da entrega serão devolvidos.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05 (cinco)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lastRenderedPageBreak/>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lastRenderedPageBreak/>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lastRenderedPageBreak/>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Aline Pereira Arns,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Fabricio Ferreira, Secretário de Saúde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 xml:space="preserve">02/FMS/2020, </w:t>
      </w:r>
      <w:r>
        <w:rPr>
          <w:rFonts w:ascii="Arial" w:hAnsi="Arial" w:cs="Arial"/>
          <w:bCs/>
        </w:rPr>
        <w:t>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18 de fevereiro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CSE EQUIPAMENTOS E SERVIÇOS EIRELI EPP</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Representante Legal: </w:t>
            </w:r>
            <w:r>
              <w:rPr>
                <w:rFonts w:ascii="Arial" w:hAnsi="Arial" w:cs="Arial"/>
              </w:rPr>
              <w:t xml:space="preserve">Lucio </w:t>
            </w:r>
            <w:proofErr w:type="spellStart"/>
            <w:r>
              <w:rPr>
                <w:rFonts w:ascii="Arial" w:hAnsi="Arial" w:cs="Arial"/>
              </w:rPr>
              <w:t>Bareta</w:t>
            </w:r>
            <w:proofErr w:type="spellEnd"/>
            <w:r>
              <w:rPr>
                <w:rFonts w:ascii="Arial" w:hAnsi="Arial" w:cs="Arial"/>
              </w:rPr>
              <w:t xml:space="preserve"> Todorov</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ODONTOMEDI PROD. ODONTOLOGISCOS E HOSPITALARES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Geisson</w:t>
            </w:r>
            <w:proofErr w:type="spellEnd"/>
            <w:r>
              <w:rPr>
                <w:rFonts w:ascii="Arial" w:hAnsi="Arial" w:cs="Arial"/>
              </w:rPr>
              <w:t xml:space="preserve"> </w:t>
            </w:r>
            <w:proofErr w:type="spellStart"/>
            <w:r>
              <w:rPr>
                <w:rFonts w:ascii="Arial" w:hAnsi="Arial" w:cs="Arial"/>
              </w:rPr>
              <w:t>Luis</w:t>
            </w:r>
            <w:proofErr w:type="spellEnd"/>
            <w:r>
              <w:rPr>
                <w:rFonts w:ascii="Arial" w:hAnsi="Arial" w:cs="Arial"/>
              </w:rPr>
              <w:t xml:space="preserve"> de Paula G. Guimarães</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lastRenderedPageBreak/>
              <w:t>MEDICENTRO COMERCIO DE MEDICAMENTOS EIRELI EPP</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r>
              <w:rPr>
                <w:rFonts w:ascii="Arial" w:hAnsi="Arial" w:cs="Arial"/>
              </w:rPr>
              <w:t xml:space="preserve">Sergio Carlos </w:t>
            </w:r>
            <w:proofErr w:type="spellStart"/>
            <w:r>
              <w:rPr>
                <w:rFonts w:ascii="Arial" w:hAnsi="Arial" w:cs="Arial"/>
              </w:rPr>
              <w:t>Zipf</w:t>
            </w:r>
            <w:proofErr w:type="spellEnd"/>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MEDEFE PRODUSTOS MEDICO-HOSPITALARES LTDA</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r>
              <w:rPr>
                <w:rFonts w:ascii="Arial" w:hAnsi="Arial" w:cs="Arial"/>
              </w:rPr>
              <w:t>Adalberto Luiz REESE</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MAYCON WILL EIRELI</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r>
              <w:rPr>
                <w:rFonts w:ascii="Arial" w:hAnsi="Arial" w:cs="Arial"/>
              </w:rPr>
              <w:t>Luiz Fernando de Oliveira</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HENRIQUE DE OLIVERA PRADO ME</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r>
              <w:rPr>
                <w:rFonts w:ascii="Arial" w:hAnsi="Arial" w:cs="Arial"/>
              </w:rPr>
              <w:t>Henrique de Oliveira Prado</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ISAMED MAT. MÉDICOS HOSPITALARES EIRELI ME</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w:t>
            </w:r>
            <w:r>
              <w:rPr>
                <w:rFonts w:ascii="Arial" w:hAnsi="Arial" w:cs="Arial"/>
              </w:rPr>
              <w:t>Felipe Perito Cardoso</w:t>
            </w:r>
          </w:p>
          <w:p>
            <w:pPr>
              <w:spacing w:line="220" w:lineRule="exact"/>
              <w:jc w:val="center"/>
              <w:rPr>
                <w:rFonts w:ascii="Arial" w:hAnsi="Arial" w:cs="Arial"/>
              </w:rPr>
            </w:pPr>
          </w:p>
          <w:p>
            <w:pPr>
              <w:spacing w:line="220" w:lineRule="exact"/>
              <w:jc w:val="center"/>
              <w:rPr>
                <w:rFonts w:ascii="Arial" w:hAnsi="Arial" w:cs="Arial"/>
              </w:rPr>
            </w:pPr>
            <w:bookmarkStart w:id="0" w:name="_GoBack"/>
            <w:bookmarkEnd w:id="0"/>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Aline Pereira Arns</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441ACA0-36A2-4BC0-815E-5187DC70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2608</Words>
  <Characters>14089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2020-02-18T11:48:00Z</dcterms:created>
  <dcterms:modified xsi:type="dcterms:W3CDTF">2020-02-18T12:35:00Z</dcterms:modified>
</cp:coreProperties>
</file>