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8460E4">
        <w:rPr>
          <w:rFonts w:ascii="Arial" w:eastAsia="Arial Narrow" w:hAnsi="Arial" w:cs="Arial"/>
          <w:b/>
          <w:bCs/>
          <w:sz w:val="20"/>
          <w:szCs w:val="20"/>
        </w:rPr>
        <w:t>04</w:t>
      </w:r>
      <w:r w:rsidRPr="00D16BEC">
        <w:rPr>
          <w:rFonts w:ascii="Arial" w:eastAsia="Arial Narrow" w:hAnsi="Arial" w:cs="Arial"/>
          <w:b/>
          <w:bCs/>
          <w:sz w:val="20"/>
          <w:szCs w:val="20"/>
        </w:rPr>
        <w:t>/201</w:t>
      </w:r>
      <w:r w:rsidR="008460E4">
        <w:rPr>
          <w:rFonts w:ascii="Arial" w:eastAsia="Arial Narrow" w:hAnsi="Arial" w:cs="Arial"/>
          <w:b/>
          <w:bCs/>
          <w:sz w:val="20"/>
          <w:szCs w:val="20"/>
        </w:rPr>
        <w:t>9</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w:t>
      </w:r>
      <w:r w:rsidR="005715A7">
        <w:rPr>
          <w:rFonts w:ascii="Arial" w:eastAsia="Arial Narrow" w:hAnsi="Arial" w:cs="Arial"/>
          <w:sz w:val="20"/>
          <w:szCs w:val="20"/>
        </w:rPr>
        <w:t>FORQUILHINHENSE DOS GRUPOS DE TERCEIRA IDADE</w:t>
      </w:r>
      <w:r w:rsidR="00561FAD" w:rsidRPr="00D16BEC">
        <w:rPr>
          <w:rFonts w:ascii="Arial" w:eastAsia="Arial Narrow" w:hAnsi="Arial" w:cs="Arial"/>
          <w:sz w:val="20"/>
          <w:szCs w:val="20"/>
        </w:rPr>
        <w:t xml:space="preserve">, </w:t>
      </w:r>
      <w:r w:rsidR="004D1281" w:rsidRPr="00D16BEC">
        <w:rPr>
          <w:rFonts w:ascii="Arial" w:eastAsia="Arial Narrow" w:hAnsi="Arial" w:cs="Arial"/>
          <w:sz w:val="20"/>
          <w:szCs w:val="20"/>
        </w:rPr>
        <w:t>PARA OS FINS QUE ESPECIFICA.</w:t>
      </w:r>
    </w:p>
    <w:p w:rsidR="008F00EF" w:rsidRDefault="00343EC0"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Pr="00D16BEC">
        <w:rPr>
          <w:rFonts w:ascii="Arial" w:eastAsia="Arial Narrow" w:hAnsi="Arial" w:cs="Arial"/>
          <w:sz w:val="20"/>
          <w:szCs w:val="20"/>
        </w:rPr>
        <w:t>, pessoa jurídica de direito público, inscrita no CNPJ/MF sob o n</w:t>
      </w:r>
      <w:r w:rsidRPr="00D16BEC">
        <w:rPr>
          <w:rFonts w:ascii="Arial" w:hAnsi="Arial" w:cs="Arial"/>
          <w:strike/>
          <w:sz w:val="20"/>
          <w:szCs w:val="20"/>
        </w:rPr>
        <w:t>º</w:t>
      </w:r>
      <w:r w:rsidRPr="00D16BEC">
        <w:rPr>
          <w:rFonts w:ascii="Arial" w:eastAsia="Arial Narrow" w:hAnsi="Arial" w:cs="Arial"/>
          <w:sz w:val="20"/>
          <w:szCs w:val="20"/>
        </w:rPr>
        <w:t xml:space="preserve"> 81.531.162/0001-58, doravante denominado ADMINISTRAÇÃO PÚBLICA MUNICIPAL, neste </w:t>
      </w:r>
      <w:r w:rsidR="008460E4" w:rsidRPr="00D16BEC">
        <w:rPr>
          <w:rFonts w:ascii="Arial" w:eastAsia="Arial Narrow" w:hAnsi="Arial" w:cs="Arial"/>
          <w:sz w:val="20"/>
          <w:szCs w:val="20"/>
        </w:rPr>
        <w:t>ato representado</w:t>
      </w:r>
      <w:r w:rsidRPr="00D16BEC">
        <w:rPr>
          <w:rFonts w:ascii="Arial" w:eastAsia="Arial Narrow" w:hAnsi="Arial" w:cs="Arial"/>
          <w:sz w:val="20"/>
          <w:szCs w:val="20"/>
        </w:rPr>
        <w:t xml:space="preserve"> por </w:t>
      </w:r>
      <w:r w:rsidR="008460E4" w:rsidRPr="003451AB">
        <w:rPr>
          <w:rFonts w:ascii="Arial" w:eastAsia="Arial Narrow" w:hAnsi="Arial" w:cs="Arial"/>
          <w:sz w:val="20"/>
          <w:szCs w:val="20"/>
        </w:rPr>
        <w:t>DIMAS KAMMER, prefeito municipal, brasileiro, residente à Rua Professor Arlindo Junkes, 195, Edifício Residencial Alexander Platz, Apto. 301, Centro, Forquilhinha, inscrito no CPF/MF sob o n</w:t>
      </w:r>
      <w:r w:rsidR="008460E4" w:rsidRPr="003451AB">
        <w:rPr>
          <w:rFonts w:ascii="Arial" w:hAnsi="Arial" w:cs="Arial"/>
          <w:strike/>
          <w:sz w:val="20"/>
          <w:szCs w:val="20"/>
        </w:rPr>
        <w:t>º</w:t>
      </w:r>
      <w:r w:rsidR="008460E4" w:rsidRPr="003451AB">
        <w:rPr>
          <w:rFonts w:ascii="Arial" w:eastAsia="Arial Narrow" w:hAnsi="Arial" w:cs="Arial"/>
          <w:sz w:val="20"/>
          <w:szCs w:val="20"/>
        </w:rPr>
        <w:t xml:space="preserve"> 500.962.909-78, RG nº 1.328.011</w:t>
      </w:r>
      <w:r w:rsidRPr="00D16BEC">
        <w:rPr>
          <w:rFonts w:ascii="Arial" w:eastAsia="Arial Narrow" w:hAnsi="Arial" w:cs="Arial"/>
          <w:sz w:val="20"/>
          <w:szCs w:val="20"/>
        </w:rPr>
        <w:t xml:space="preserve"> e de outro lado a ORGANIZAÇÃO DA SOCIEDADE CIVIL – OSC selecionada, </w:t>
      </w:r>
      <w:r w:rsidR="00DE398D" w:rsidRPr="00D16BEC">
        <w:rPr>
          <w:rFonts w:ascii="Arial" w:eastAsia="Arial Narrow" w:hAnsi="Arial" w:cs="Arial"/>
          <w:b/>
          <w:sz w:val="20"/>
          <w:szCs w:val="20"/>
        </w:rPr>
        <w:t xml:space="preserve">ASSOCIAÇÃO </w:t>
      </w:r>
      <w:r w:rsidR="005715A7">
        <w:rPr>
          <w:rFonts w:ascii="Arial" w:eastAsia="Arial Narrow" w:hAnsi="Arial" w:cs="Arial"/>
          <w:b/>
          <w:sz w:val="20"/>
          <w:szCs w:val="20"/>
        </w:rPr>
        <w:t>FORQUILHINHENSE DOS GRUPOS DE TERCEIRA IDADE</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proofErr w:type="gramStart"/>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proofErr w:type="gramEnd"/>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 xml:space="preserve">Rua </w:t>
      </w:r>
      <w:r w:rsidR="004C68AB">
        <w:rPr>
          <w:rFonts w:ascii="Arial" w:eastAsia="Arial Narrow" w:hAnsi="Arial" w:cs="Arial"/>
          <w:sz w:val="20"/>
          <w:szCs w:val="20"/>
        </w:rPr>
        <w:t xml:space="preserve">Ricardo Back, </w:t>
      </w:r>
      <w:r w:rsidR="00102449" w:rsidRPr="00D16BEC">
        <w:rPr>
          <w:rFonts w:ascii="Arial" w:eastAsia="Arial Narrow" w:hAnsi="Arial" w:cs="Arial"/>
          <w:sz w:val="20"/>
          <w:szCs w:val="20"/>
        </w:rPr>
        <w:t xml:space="preserve">nº </w:t>
      </w:r>
      <w:r w:rsidR="004C68AB">
        <w:rPr>
          <w:rFonts w:ascii="Arial" w:eastAsia="Arial Narrow" w:hAnsi="Arial" w:cs="Arial"/>
          <w:sz w:val="20"/>
          <w:szCs w:val="20"/>
        </w:rPr>
        <w:t>41</w:t>
      </w:r>
      <w:r w:rsidR="00102449" w:rsidRPr="00D16BEC">
        <w:rPr>
          <w:rFonts w:ascii="Arial" w:eastAsia="Arial Narrow" w:hAnsi="Arial" w:cs="Arial"/>
          <w:sz w:val="20"/>
          <w:szCs w:val="20"/>
        </w:rPr>
        <w:t xml:space="preserve">, Bairro </w:t>
      </w:r>
      <w:r w:rsidR="004C68AB">
        <w:rPr>
          <w:rFonts w:ascii="Arial" w:eastAsia="Arial Narrow" w:hAnsi="Arial" w:cs="Arial"/>
          <w:sz w:val="20"/>
          <w:szCs w:val="20"/>
        </w:rPr>
        <w:t>Centro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4C68AB">
        <w:rPr>
          <w:rFonts w:ascii="Arial" w:eastAsia="Arial Narrow" w:hAnsi="Arial" w:cs="Arial"/>
          <w:sz w:val="20"/>
          <w:szCs w:val="20"/>
        </w:rPr>
        <w:t>02.087.826/0001-65</w:t>
      </w:r>
      <w:r w:rsidR="002D472F" w:rsidRPr="00D16BEC">
        <w:rPr>
          <w:rFonts w:ascii="Arial" w:eastAsia="Arial Narrow" w:hAnsi="Arial" w:cs="Arial"/>
          <w:sz w:val="20"/>
          <w:szCs w:val="20"/>
        </w:rPr>
        <w:t xml:space="preserve">, doravante denominada </w:t>
      </w:r>
      <w:r w:rsidR="004C68AB">
        <w:rPr>
          <w:rFonts w:ascii="Arial" w:eastAsia="Arial Narrow" w:hAnsi="Arial" w:cs="Arial"/>
          <w:sz w:val="20"/>
          <w:szCs w:val="20"/>
        </w:rPr>
        <w:t>TERCEIRA IDADE</w:t>
      </w:r>
      <w:r w:rsidR="002D472F" w:rsidRPr="00D16BEC">
        <w:rPr>
          <w:rFonts w:ascii="Arial" w:eastAsia="Arial Narrow" w:hAnsi="Arial" w:cs="Arial"/>
          <w:sz w:val="20"/>
          <w:szCs w:val="20"/>
        </w:rPr>
        <w:t>, neste ato representada por seu Presidente</w:t>
      </w:r>
      <w:r w:rsidR="00DE398D" w:rsidRPr="00D16BEC">
        <w:rPr>
          <w:rFonts w:ascii="Arial" w:eastAsia="Arial Narrow" w:hAnsi="Arial" w:cs="Arial"/>
          <w:sz w:val="20"/>
          <w:szCs w:val="20"/>
        </w:rPr>
        <w:t xml:space="preserve"> </w:t>
      </w:r>
      <w:r w:rsidR="004C68AB">
        <w:rPr>
          <w:rFonts w:ascii="Arial" w:eastAsia="Arial Narrow" w:hAnsi="Arial" w:cs="Arial"/>
          <w:sz w:val="20"/>
          <w:szCs w:val="20"/>
        </w:rPr>
        <w:t>MIRIAM DA SILVA BECKAUSER</w:t>
      </w:r>
      <w:r w:rsidR="002D472F" w:rsidRPr="00D16BEC">
        <w:rPr>
          <w:rFonts w:ascii="Arial" w:eastAsia="Arial Narrow" w:hAnsi="Arial" w:cs="Arial"/>
          <w:sz w:val="20"/>
          <w:szCs w:val="20"/>
        </w:rPr>
        <w:t xml:space="preserve">, </w:t>
      </w:r>
      <w:r w:rsidR="00F84C82" w:rsidRPr="00D16BEC">
        <w:rPr>
          <w:rFonts w:ascii="Arial" w:eastAsia="Arial Narrow" w:hAnsi="Arial" w:cs="Arial"/>
          <w:sz w:val="20"/>
          <w:szCs w:val="20"/>
        </w:rPr>
        <w:t>brasileir</w:t>
      </w:r>
      <w:r w:rsidR="004C68AB">
        <w:rPr>
          <w:rFonts w:ascii="Arial" w:eastAsia="Arial Narrow" w:hAnsi="Arial" w:cs="Arial"/>
          <w:sz w:val="20"/>
          <w:szCs w:val="20"/>
        </w:rPr>
        <w:t>a</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 xml:space="preserve">à </w:t>
      </w:r>
      <w:r w:rsidR="00DE398D" w:rsidRPr="00D16BEC">
        <w:rPr>
          <w:rFonts w:ascii="Arial" w:eastAsia="Arial Narrow" w:hAnsi="Arial" w:cs="Arial"/>
          <w:sz w:val="20"/>
          <w:szCs w:val="20"/>
        </w:rPr>
        <w:t>A</w:t>
      </w:r>
      <w:r w:rsidR="004C68AB">
        <w:rPr>
          <w:rFonts w:ascii="Arial" w:eastAsia="Arial Narrow" w:hAnsi="Arial" w:cs="Arial"/>
          <w:sz w:val="20"/>
          <w:szCs w:val="20"/>
        </w:rPr>
        <w:t>lameda Felipe Arns, nº 210</w:t>
      </w:r>
      <w:r w:rsidR="00DE398D" w:rsidRPr="00D16BEC">
        <w:rPr>
          <w:rFonts w:ascii="Arial" w:eastAsia="Arial Narrow" w:hAnsi="Arial" w:cs="Arial"/>
          <w:sz w:val="20"/>
          <w:szCs w:val="20"/>
        </w:rPr>
        <w:t>, Centro, Forquilhinha,</w:t>
      </w:r>
      <w:r w:rsidR="002D472F" w:rsidRPr="00D16BEC">
        <w:rPr>
          <w:rFonts w:ascii="Arial" w:eastAsia="Arial Narrow" w:hAnsi="Arial" w:cs="Arial"/>
          <w:sz w:val="20"/>
          <w:szCs w:val="20"/>
        </w:rPr>
        <w:t xml:space="preserve"> inscrito no CPF/MF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4C68AB">
        <w:rPr>
          <w:rFonts w:ascii="Arial" w:eastAsia="Arial Narrow" w:hAnsi="Arial" w:cs="Arial"/>
          <w:sz w:val="20"/>
          <w:szCs w:val="20"/>
        </w:rPr>
        <w:t>571.702.239-53</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8460E4" w:rsidRDefault="008460E4" w:rsidP="00C971DD">
      <w:pPr>
        <w:spacing w:before="100" w:beforeAutospacing="1" w:after="100" w:afterAutospacing="1" w:line="360" w:lineRule="auto"/>
        <w:ind w:right="6"/>
        <w:jc w:val="both"/>
        <w:rPr>
          <w:rFonts w:ascii="Arial" w:eastAsia="Arial Narrow" w:hAnsi="Arial" w:cs="Arial"/>
          <w:b/>
          <w:bCs/>
          <w:sz w:val="20"/>
          <w:szCs w:val="20"/>
        </w:rPr>
      </w:pPr>
    </w:p>
    <w:p w:rsidR="002D472F" w:rsidRPr="00D16BEC"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PRIMEIRA -</w:t>
      </w:r>
      <w:r w:rsidR="002D472F" w:rsidRPr="00D16BEC">
        <w:rPr>
          <w:rFonts w:ascii="Arial" w:eastAsia="Arial Narrow" w:hAnsi="Arial" w:cs="Arial"/>
          <w:b/>
          <w:bCs/>
          <w:sz w:val="20"/>
          <w:szCs w:val="20"/>
        </w:rPr>
        <w:t xml:space="preserve"> DO OBJETO</w:t>
      </w:r>
    </w:p>
    <w:p w:rsidR="00C971DD" w:rsidRDefault="008F00EF" w:rsidP="00C971DD">
      <w:pPr>
        <w:spacing w:before="100" w:beforeAutospacing="1" w:after="100" w:afterAutospacing="1" w:line="360" w:lineRule="auto"/>
        <w:ind w:right="6"/>
        <w:jc w:val="both"/>
        <w:rPr>
          <w:rFonts w:ascii="Arial" w:eastAsia="Arial Narrow" w:hAnsi="Arial" w:cs="Arial"/>
          <w:bCs/>
          <w:sz w:val="20"/>
          <w:szCs w:val="20"/>
        </w:rPr>
      </w:pPr>
      <w:r w:rsidRPr="00D16BEC">
        <w:rPr>
          <w:rFonts w:ascii="Arial" w:eastAsia="Arial Narrow" w:hAnsi="Arial" w:cs="Arial"/>
          <w:b/>
          <w:bCs/>
          <w:sz w:val="20"/>
          <w:szCs w:val="20"/>
        </w:rPr>
        <w:t>1.</w:t>
      </w:r>
      <w:r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 xml:space="preserve">O presente Termo de </w:t>
      </w:r>
      <w:r w:rsidR="00450314" w:rsidRPr="00D16BEC">
        <w:rPr>
          <w:rFonts w:ascii="Arial" w:eastAsia="Arial Narrow" w:hAnsi="Arial" w:cs="Arial"/>
          <w:bCs/>
          <w:sz w:val="20"/>
          <w:szCs w:val="20"/>
        </w:rPr>
        <w:t>Fomento</w:t>
      </w:r>
      <w:r w:rsidR="002D472F" w:rsidRPr="00D16BEC">
        <w:rPr>
          <w:rFonts w:ascii="Arial" w:eastAsia="Arial Narrow" w:hAnsi="Arial" w:cs="Arial"/>
          <w:bCs/>
          <w:sz w:val="20"/>
          <w:szCs w:val="20"/>
        </w:rPr>
        <w:t xml:space="preserve">, decorrente </w:t>
      </w:r>
      <w:r w:rsidR="00450314" w:rsidRPr="00D16BEC">
        <w:rPr>
          <w:rFonts w:ascii="Arial" w:eastAsia="Arial Narrow" w:hAnsi="Arial" w:cs="Arial"/>
          <w:bCs/>
          <w:sz w:val="20"/>
          <w:szCs w:val="20"/>
        </w:rPr>
        <w:t xml:space="preserve">do Processo de Inexigibilidade </w:t>
      </w:r>
      <w:r w:rsidR="002D472F" w:rsidRPr="00D16BEC">
        <w:rPr>
          <w:rFonts w:ascii="Arial" w:eastAsia="Arial Narrow" w:hAnsi="Arial" w:cs="Arial"/>
          <w:bCs/>
          <w:sz w:val="20"/>
          <w:szCs w:val="20"/>
        </w:rPr>
        <w:t>de Chamamento Público nº</w:t>
      </w:r>
      <w:r w:rsidR="00450314" w:rsidRPr="00D16BEC">
        <w:rPr>
          <w:rFonts w:ascii="Arial" w:eastAsia="Arial Narrow" w:hAnsi="Arial" w:cs="Arial"/>
          <w:bCs/>
          <w:sz w:val="20"/>
          <w:szCs w:val="20"/>
        </w:rPr>
        <w:t xml:space="preserve"> </w:t>
      </w:r>
      <w:r w:rsidR="00343EC0">
        <w:rPr>
          <w:rFonts w:ascii="Arial" w:eastAsia="Arial Narrow" w:hAnsi="Arial" w:cs="Arial"/>
          <w:bCs/>
          <w:sz w:val="20"/>
          <w:szCs w:val="20"/>
        </w:rPr>
        <w:t>01</w:t>
      </w:r>
      <w:r w:rsidR="00450314" w:rsidRPr="00D16BEC">
        <w:rPr>
          <w:rFonts w:ascii="Arial" w:eastAsia="Arial Narrow" w:hAnsi="Arial" w:cs="Arial"/>
          <w:bCs/>
          <w:sz w:val="20"/>
          <w:szCs w:val="20"/>
        </w:rPr>
        <w:t>/</w:t>
      </w:r>
      <w:r w:rsidR="00343EC0">
        <w:rPr>
          <w:rFonts w:ascii="Arial" w:eastAsia="Arial Narrow" w:hAnsi="Arial" w:cs="Arial"/>
          <w:bCs/>
          <w:sz w:val="20"/>
          <w:szCs w:val="20"/>
        </w:rPr>
        <w:t>2018</w:t>
      </w:r>
      <w:r w:rsidR="002D472F" w:rsidRPr="00D16BEC">
        <w:rPr>
          <w:rFonts w:ascii="Arial" w:eastAsia="Arial Narrow" w:hAnsi="Arial" w:cs="Arial"/>
          <w:bCs/>
          <w:sz w:val="20"/>
          <w:szCs w:val="20"/>
        </w:rPr>
        <w:t>, tem por objeto</w:t>
      </w:r>
      <w:r w:rsidR="00452353"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a</w:t>
      </w:r>
      <w:r w:rsidR="00773797" w:rsidRPr="00D16BEC">
        <w:rPr>
          <w:rFonts w:ascii="Arial" w:eastAsia="Arial Narrow" w:hAnsi="Arial" w:cs="Arial"/>
          <w:bCs/>
          <w:sz w:val="20"/>
          <w:szCs w:val="20"/>
        </w:rPr>
        <w:t xml:space="preserve"> transferência de recursos financeiros para a consecução de serviços de </w:t>
      </w:r>
      <w:r w:rsidR="002C0EF1">
        <w:rPr>
          <w:rFonts w:ascii="Arial" w:eastAsia="Arial Narrow" w:hAnsi="Arial" w:cs="Arial"/>
          <w:bCs/>
          <w:sz w:val="20"/>
          <w:szCs w:val="20"/>
        </w:rPr>
        <w:t>assistência a velhice assegurando o atendimento ao idoso, preconizando a valorização do ser humano, por meio de programas de integração social, atividades culturais e recreativas e demais ações que propiciem a proteção e a inclusão dos idosos residentes em Forquilhinha com a consequente melhoria da qualidade de vida</w:t>
      </w:r>
      <w:r w:rsidR="00452353"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conforme detalhado no Plano de Trabalho.</w:t>
      </w:r>
    </w:p>
    <w:p w:rsidR="008460E4" w:rsidRDefault="008460E4" w:rsidP="00C971DD">
      <w:pPr>
        <w:spacing w:before="100" w:beforeAutospacing="1" w:after="100" w:afterAutospacing="1" w:line="360" w:lineRule="auto"/>
        <w:ind w:right="6"/>
        <w:jc w:val="both"/>
        <w:rPr>
          <w:rFonts w:ascii="Arial" w:eastAsia="Arial Narrow" w:hAnsi="Arial" w:cs="Arial"/>
          <w:b/>
          <w:bCs/>
          <w:sz w:val="20"/>
          <w:szCs w:val="20"/>
        </w:rPr>
      </w:pPr>
    </w:p>
    <w:p w:rsidR="008460E4" w:rsidRDefault="008460E4" w:rsidP="00C971DD">
      <w:pPr>
        <w:spacing w:before="100" w:beforeAutospacing="1" w:after="100" w:afterAutospacing="1" w:line="360" w:lineRule="auto"/>
        <w:ind w:right="6"/>
        <w:jc w:val="both"/>
        <w:rPr>
          <w:rFonts w:ascii="Arial" w:eastAsia="Arial Narrow" w:hAnsi="Arial" w:cs="Arial"/>
          <w:b/>
          <w:bCs/>
          <w:sz w:val="20"/>
          <w:szCs w:val="20"/>
        </w:rPr>
      </w:pPr>
    </w:p>
    <w:p w:rsidR="008460E4" w:rsidRDefault="008460E4" w:rsidP="00C971DD">
      <w:pPr>
        <w:spacing w:before="100" w:beforeAutospacing="1" w:after="100" w:afterAutospacing="1" w:line="360" w:lineRule="auto"/>
        <w:ind w:right="6"/>
        <w:jc w:val="both"/>
        <w:rPr>
          <w:rFonts w:ascii="Arial" w:eastAsia="Arial Narrow" w:hAnsi="Arial" w:cs="Arial"/>
          <w:b/>
          <w:bCs/>
          <w:sz w:val="20"/>
          <w:szCs w:val="20"/>
        </w:rPr>
      </w:pPr>
    </w:p>
    <w:p w:rsidR="002D472F" w:rsidRPr="00D16BEC"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lastRenderedPageBreak/>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proofErr w:type="gramStart"/>
      <w:r w:rsidR="00B04557" w:rsidRPr="00D16BEC">
        <w:rPr>
          <w:rFonts w:ascii="Arial" w:hAnsi="Arial" w:cs="Arial"/>
          <w:sz w:val="20"/>
          <w:szCs w:val="20"/>
        </w:rPr>
        <w:t>Integram</w:t>
      </w:r>
      <w:proofErr w:type="gramEnd"/>
      <w:r w:rsidR="00B04557" w:rsidRPr="00D16BEC">
        <w:rPr>
          <w:rFonts w:ascii="Arial" w:hAnsi="Arial" w:cs="Arial"/>
          <w:sz w:val="20"/>
          <w:szCs w:val="20"/>
        </w:rPr>
        <w:t xml:space="preserve"> este instrumento, independente de transcrição, </w:t>
      </w:r>
      <w:r w:rsidR="00773797" w:rsidRPr="00D16BEC">
        <w:rPr>
          <w:rFonts w:ascii="Arial" w:hAnsi="Arial" w:cs="Arial"/>
          <w:sz w:val="20"/>
          <w:szCs w:val="20"/>
        </w:rPr>
        <w:t>o Plano de Trabalho aprovado pel</w:t>
      </w:r>
      <w:r w:rsidR="00B04557" w:rsidRPr="00D16BEC">
        <w:rPr>
          <w:rFonts w:ascii="Arial" w:hAnsi="Arial" w:cs="Arial"/>
          <w:sz w:val="20"/>
          <w:szCs w:val="20"/>
        </w:rPr>
        <w:t xml:space="preserve">a Comissão de </w:t>
      </w:r>
      <w:r w:rsidR="00452353" w:rsidRPr="00D16BEC">
        <w:rPr>
          <w:rFonts w:ascii="Arial" w:hAnsi="Arial" w:cs="Arial"/>
          <w:sz w:val="20"/>
          <w:szCs w:val="20"/>
        </w:rPr>
        <w:t>Seleção</w:t>
      </w:r>
      <w:r w:rsidR="00B04557" w:rsidRPr="00D16BEC">
        <w:rPr>
          <w:rFonts w:ascii="Arial" w:hAnsi="Arial" w:cs="Arial"/>
          <w:sz w:val="20"/>
          <w:szCs w:val="20"/>
        </w:rPr>
        <w:t xml:space="preserve">, propostos pela </w:t>
      </w:r>
      <w:r w:rsidR="00B04557" w:rsidRPr="00D16BEC">
        <w:rPr>
          <w:rFonts w:ascii="Arial" w:hAnsi="Arial" w:cs="Arial"/>
          <w:b/>
          <w:sz w:val="20"/>
          <w:szCs w:val="20"/>
        </w:rPr>
        <w:t>OSC</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8460E4" w:rsidRDefault="008460E4" w:rsidP="00C971DD">
      <w:pPr>
        <w:tabs>
          <w:tab w:val="left" w:pos="980"/>
        </w:tabs>
        <w:spacing w:before="100" w:beforeAutospacing="1" w:after="100" w:afterAutospacing="1" w:line="360" w:lineRule="auto"/>
        <w:ind w:right="6"/>
        <w:jc w:val="both"/>
        <w:rPr>
          <w:rFonts w:ascii="Arial" w:eastAsia="Arial Narrow" w:hAnsi="Arial" w:cs="Arial"/>
          <w:b/>
          <w:sz w:val="20"/>
          <w:szCs w:val="20"/>
        </w:rPr>
      </w:pP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E50163" w:rsidRPr="00D16BEC">
        <w:rPr>
          <w:color w:val="auto"/>
          <w:sz w:val="20"/>
          <w:szCs w:val="20"/>
        </w:rPr>
        <w:t xml:space="preserve"> Instituir Comissão de Monitoramento e Avaliação - CMA, nos termos do art</w:t>
      </w:r>
      <w:r w:rsidR="0007525B" w:rsidRPr="00D16BEC">
        <w:rPr>
          <w:color w:val="auto"/>
          <w:sz w:val="20"/>
          <w:szCs w:val="20"/>
        </w:rPr>
        <w:t>. 35, inciso V, alínea h, da Lei 13</w:t>
      </w:r>
      <w:r w:rsidR="00B66E6F">
        <w:rPr>
          <w:color w:val="auto"/>
          <w:sz w:val="20"/>
          <w:szCs w:val="20"/>
        </w:rPr>
        <w:t>.</w:t>
      </w:r>
      <w:r w:rsidR="0007525B" w:rsidRPr="00D16BEC">
        <w:rPr>
          <w:color w:val="auto"/>
          <w:sz w:val="20"/>
          <w:szCs w:val="20"/>
        </w:rPr>
        <w:t>019/2014;</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independentemente de autorização judicial, a fim de realizar ou manter a execução das metas ou atividades pactuadas, nos termos do art. 62, inciso I, da Lei nº 13</w:t>
      </w:r>
      <w:r w:rsidR="00B66E6F">
        <w:rPr>
          <w:color w:val="auto"/>
          <w:sz w:val="20"/>
          <w:szCs w:val="20"/>
        </w:rPr>
        <w:t>.</w:t>
      </w:r>
      <w:r w:rsidR="00E50163" w:rsidRPr="00D16BEC">
        <w:rPr>
          <w:color w:val="auto"/>
          <w:sz w:val="20"/>
          <w:szCs w:val="20"/>
        </w:rPr>
        <w:t>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f)</w:t>
      </w:r>
      <w:r w:rsidR="0007525B" w:rsidRPr="00D16BEC">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 xml:space="preserve">a vigência do Termo de </w:t>
      </w:r>
      <w:r w:rsidR="001C6120">
        <w:rPr>
          <w:color w:val="auto"/>
          <w:sz w:val="20"/>
          <w:szCs w:val="20"/>
        </w:rPr>
        <w:t>Fomento</w:t>
      </w:r>
      <w:r w:rsidR="0007525B" w:rsidRPr="00D16BEC">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943A89" w:rsidRDefault="00F84C82" w:rsidP="00943A89">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D16BEC" w:rsidRDefault="00F84C82" w:rsidP="00943A89">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w:t>
      </w:r>
      <w:r w:rsidR="00524113" w:rsidRPr="00D16BEC">
        <w:rPr>
          <w:color w:val="auto"/>
          <w:sz w:val="20"/>
          <w:szCs w:val="20"/>
        </w:rPr>
        <w:lastRenderedPageBreak/>
        <w:t xml:space="preserve">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8460E4" w:rsidRPr="00D16BEC" w:rsidRDefault="008460E4" w:rsidP="00C971DD">
      <w:pPr>
        <w:pStyle w:val="Default"/>
        <w:spacing w:before="100" w:beforeAutospacing="1" w:after="100" w:afterAutospacing="1" w:line="360" w:lineRule="auto"/>
        <w:ind w:right="6" w:firstLine="1276"/>
        <w:jc w:val="both"/>
        <w:rPr>
          <w:color w:val="auto"/>
          <w:sz w:val="20"/>
          <w:szCs w:val="20"/>
        </w:rPr>
      </w:pP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w:t>
      </w:r>
      <w:r w:rsidR="00343EC0">
        <w:rPr>
          <w:color w:val="auto"/>
          <w:sz w:val="20"/>
          <w:szCs w:val="20"/>
        </w:rPr>
        <w:t>1</w:t>
      </w:r>
      <w:r w:rsidR="008460E4">
        <w:rPr>
          <w:color w:val="auto"/>
          <w:sz w:val="20"/>
          <w:szCs w:val="20"/>
        </w:rPr>
        <w:t>76.897,36</w:t>
      </w:r>
      <w:r w:rsidR="00391150" w:rsidRPr="00D16BEC">
        <w:rPr>
          <w:color w:val="auto"/>
          <w:sz w:val="20"/>
          <w:szCs w:val="20"/>
        </w:rPr>
        <w:t xml:space="preserve"> (</w:t>
      </w:r>
      <w:r w:rsidR="001C6120">
        <w:rPr>
          <w:color w:val="auto"/>
          <w:sz w:val="20"/>
          <w:szCs w:val="20"/>
        </w:rPr>
        <w:t xml:space="preserve">cento e </w:t>
      </w:r>
      <w:r w:rsidR="008460E4">
        <w:rPr>
          <w:color w:val="auto"/>
          <w:sz w:val="20"/>
          <w:szCs w:val="20"/>
        </w:rPr>
        <w:t xml:space="preserve">setenta e seis mil, oitocentos e noventa e sete reais e trinta e seis centavos) </w:t>
      </w:r>
      <w:r w:rsidR="0027121A" w:rsidRPr="00D16BEC">
        <w:rPr>
          <w:color w:val="auto"/>
          <w:sz w:val="20"/>
          <w:szCs w:val="20"/>
        </w:rPr>
        <w:t xml:space="preserve">serão alocados de acordo com o cronograma de desembolso constante no Plano de Trabalho, conforme a seguinte classificação orçamentária: </w:t>
      </w:r>
    </w:p>
    <w:p w:rsidR="0027121A" w:rsidRPr="008460E4" w:rsidRDefault="0027121A" w:rsidP="00C971DD">
      <w:pPr>
        <w:pStyle w:val="Default"/>
        <w:spacing w:before="100" w:beforeAutospacing="1" w:after="100" w:afterAutospacing="1" w:line="360" w:lineRule="auto"/>
        <w:ind w:right="6" w:firstLine="1276"/>
        <w:jc w:val="both"/>
        <w:rPr>
          <w:color w:val="auto"/>
          <w:sz w:val="20"/>
          <w:szCs w:val="20"/>
        </w:rPr>
      </w:pPr>
      <w:r w:rsidRPr="008460E4">
        <w:rPr>
          <w:color w:val="auto"/>
          <w:sz w:val="20"/>
          <w:szCs w:val="20"/>
        </w:rPr>
        <w:t xml:space="preserve">I - R$ </w:t>
      </w:r>
      <w:r w:rsidR="008460E4" w:rsidRPr="008460E4">
        <w:rPr>
          <w:color w:val="auto"/>
          <w:sz w:val="20"/>
          <w:szCs w:val="20"/>
        </w:rPr>
        <w:t xml:space="preserve">176.897,36 </w:t>
      </w:r>
      <w:r w:rsidR="001C6120" w:rsidRPr="008460E4">
        <w:rPr>
          <w:color w:val="auto"/>
          <w:sz w:val="20"/>
          <w:szCs w:val="20"/>
        </w:rPr>
        <w:t xml:space="preserve">(cento e </w:t>
      </w:r>
      <w:r w:rsidR="00343EC0" w:rsidRPr="008460E4">
        <w:rPr>
          <w:color w:val="auto"/>
          <w:sz w:val="20"/>
          <w:szCs w:val="20"/>
        </w:rPr>
        <w:t>se</w:t>
      </w:r>
      <w:r w:rsidR="008460E4" w:rsidRPr="008460E4">
        <w:rPr>
          <w:color w:val="auto"/>
          <w:sz w:val="20"/>
          <w:szCs w:val="20"/>
        </w:rPr>
        <w:t>tenta e seis mil, oitocentos e noventa e sete reais e trinta e seis centavos)</w:t>
      </w:r>
      <w:r w:rsidRPr="008460E4">
        <w:rPr>
          <w:color w:val="auto"/>
          <w:sz w:val="20"/>
          <w:szCs w:val="20"/>
        </w:rPr>
        <w:t xml:space="preserve">, relativos ao presente exercício, correrão à conta da dotação alocada no orçamento da </w:t>
      </w:r>
      <w:r w:rsidRPr="008460E4">
        <w:rPr>
          <w:b/>
          <w:bCs/>
          <w:color w:val="auto"/>
          <w:sz w:val="20"/>
          <w:szCs w:val="20"/>
        </w:rPr>
        <w:t>Administração Pública Municipal</w:t>
      </w:r>
      <w:r w:rsidRPr="008460E4">
        <w:rPr>
          <w:color w:val="auto"/>
          <w:sz w:val="20"/>
          <w:szCs w:val="20"/>
        </w:rPr>
        <w:t xml:space="preserve">, autorizado pela Lei Orçamentária Anual </w:t>
      </w:r>
      <w:r w:rsidR="00401824" w:rsidRPr="008460E4">
        <w:rPr>
          <w:color w:val="auto"/>
          <w:sz w:val="20"/>
          <w:szCs w:val="20"/>
        </w:rPr>
        <w:t xml:space="preserve">nº </w:t>
      </w:r>
      <w:r w:rsidR="00343EC0" w:rsidRPr="008460E4">
        <w:rPr>
          <w:color w:val="auto"/>
          <w:sz w:val="20"/>
          <w:szCs w:val="20"/>
        </w:rPr>
        <w:t>2.</w:t>
      </w:r>
      <w:r w:rsidR="008460E4" w:rsidRPr="008460E4">
        <w:rPr>
          <w:color w:val="auto"/>
          <w:sz w:val="20"/>
          <w:szCs w:val="20"/>
        </w:rPr>
        <w:t xml:space="preserve">400/2019 </w:t>
      </w:r>
      <w:r w:rsidRPr="008460E4">
        <w:rPr>
          <w:color w:val="auto"/>
          <w:sz w:val="20"/>
          <w:szCs w:val="20"/>
        </w:rPr>
        <w:t>à conta da seguinte programação orçamentária:</w:t>
      </w:r>
      <w:r w:rsidR="00391150" w:rsidRPr="008460E4">
        <w:rPr>
          <w:color w:val="auto"/>
          <w:sz w:val="20"/>
          <w:szCs w:val="20"/>
        </w:rPr>
        <w:t xml:space="preserve"> </w:t>
      </w:r>
      <w:r w:rsidR="008460E4" w:rsidRPr="008460E4">
        <w:rPr>
          <w:rFonts w:ascii="Times New Roman" w:hAnsi="Times New Roman"/>
          <w:sz w:val="20"/>
          <w:szCs w:val="20"/>
        </w:rPr>
        <w:t>16.01-2.045-3.3.50.00.01.00</w:t>
      </w:r>
      <w:r w:rsidR="008460E4" w:rsidRPr="008460E4">
        <w:rPr>
          <w:color w:val="auto"/>
          <w:sz w:val="20"/>
          <w:szCs w:val="20"/>
        </w:rPr>
        <w:t>.</w:t>
      </w:r>
    </w:p>
    <w:p w:rsidR="0027121A" w:rsidRDefault="0027121A" w:rsidP="00C971DD">
      <w:pPr>
        <w:pStyle w:val="Default"/>
        <w:spacing w:before="100" w:beforeAutospacing="1" w:after="100" w:afterAutospacing="1" w:line="360" w:lineRule="auto"/>
        <w:ind w:right="6" w:firstLine="1276"/>
        <w:jc w:val="both"/>
        <w:rPr>
          <w:b/>
          <w:bCs/>
          <w:color w:val="auto"/>
          <w:sz w:val="20"/>
          <w:szCs w:val="20"/>
        </w:rPr>
      </w:pPr>
      <w:r w:rsidRPr="00D16BEC">
        <w:rPr>
          <w:color w:val="auto"/>
          <w:sz w:val="20"/>
          <w:szCs w:val="20"/>
        </w:rPr>
        <w:t xml:space="preserve">II - Não será exigida contrapartida da </w:t>
      </w:r>
      <w:r w:rsidRPr="00D16BEC">
        <w:rPr>
          <w:b/>
          <w:bCs/>
          <w:color w:val="auto"/>
          <w:sz w:val="20"/>
          <w:szCs w:val="20"/>
        </w:rPr>
        <w:t>OSC.</w:t>
      </w:r>
    </w:p>
    <w:p w:rsidR="008460E4" w:rsidRDefault="008460E4" w:rsidP="00C971DD">
      <w:pPr>
        <w:pStyle w:val="Default"/>
        <w:spacing w:before="100" w:beforeAutospacing="1" w:after="100" w:afterAutospacing="1" w:line="360" w:lineRule="auto"/>
        <w:ind w:right="6" w:firstLine="1276"/>
        <w:jc w:val="both"/>
        <w:rPr>
          <w:b/>
          <w:bCs/>
          <w:color w:val="auto"/>
          <w:sz w:val="20"/>
          <w:szCs w:val="20"/>
        </w:rPr>
      </w:pP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w:t>
      </w:r>
      <w:r w:rsidR="0027121A" w:rsidRPr="00D16BEC">
        <w:rPr>
          <w:color w:val="auto"/>
          <w:sz w:val="20"/>
          <w:szCs w:val="20"/>
        </w:rPr>
        <w:lastRenderedPageBreak/>
        <w:t xml:space="preserve">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8460E4" w:rsidRPr="00D16BEC" w:rsidRDefault="008460E4" w:rsidP="00C971DD">
      <w:pPr>
        <w:pStyle w:val="Default"/>
        <w:spacing w:before="100" w:beforeAutospacing="1" w:after="100" w:afterAutospacing="1" w:line="360" w:lineRule="auto"/>
        <w:ind w:right="6" w:firstLine="1276"/>
        <w:jc w:val="both"/>
        <w:rPr>
          <w:color w:val="auto"/>
          <w:sz w:val="20"/>
          <w:szCs w:val="20"/>
        </w:rPr>
      </w:pP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DA79C3" w:rsidRPr="00D16BEC">
        <w:rPr>
          <w:color w:val="auto"/>
          <w:sz w:val="20"/>
          <w:szCs w:val="20"/>
        </w:rPr>
        <w:t>p</w:t>
      </w:r>
      <w:r w:rsidR="00F06C8F" w:rsidRPr="00D16BEC">
        <w:rPr>
          <w:color w:val="auto"/>
          <w:sz w:val="20"/>
          <w:szCs w:val="20"/>
        </w:rPr>
        <w:t xml:space="preserve">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p>
    <w:p w:rsidR="00E84D0B" w:rsidRDefault="00E84D0B" w:rsidP="00E84D0B">
      <w:pPr>
        <w:pStyle w:val="Default"/>
        <w:spacing w:before="100" w:beforeAutospacing="1" w:after="100" w:afterAutospacing="1" w:line="360" w:lineRule="auto"/>
        <w:ind w:right="6" w:firstLine="1276"/>
        <w:jc w:val="both"/>
        <w:rPr>
          <w:color w:val="auto"/>
          <w:sz w:val="20"/>
          <w:szCs w:val="20"/>
        </w:rPr>
      </w:pPr>
      <w:r w:rsidRPr="00892F8D">
        <w:rPr>
          <w:b/>
          <w:color w:val="auto"/>
          <w:sz w:val="20"/>
          <w:szCs w:val="20"/>
        </w:rPr>
        <w:lastRenderedPageBreak/>
        <w:t>2.</w:t>
      </w:r>
      <w:r>
        <w:rPr>
          <w:color w:val="auto"/>
          <w:sz w:val="20"/>
          <w:szCs w:val="20"/>
        </w:rPr>
        <w:t xml:space="preserve"> Os reajustes relativos </w:t>
      </w:r>
      <w:proofErr w:type="gramStart"/>
      <w:r>
        <w:rPr>
          <w:color w:val="auto"/>
          <w:sz w:val="20"/>
          <w:szCs w:val="20"/>
        </w:rPr>
        <w:t>a</w:t>
      </w:r>
      <w:proofErr w:type="gramEnd"/>
      <w:r>
        <w:rPr>
          <w:color w:val="auto"/>
          <w:sz w:val="20"/>
          <w:szCs w:val="20"/>
        </w:rPr>
        <w:t xml:space="preserve"> remuneração dos colaboradores e/ou prestadores de serviço, previstos no Plano de Trabalho, com a utilização de recursos financeiros deste Termo de Fomento, deverão ser previamente autorizados pela Administração Pública Municipal.</w:t>
      </w:r>
    </w:p>
    <w:p w:rsidR="008460E4" w:rsidRDefault="008460E4" w:rsidP="00E84D0B">
      <w:pPr>
        <w:pStyle w:val="Default"/>
        <w:spacing w:before="100" w:beforeAutospacing="1" w:after="100" w:afterAutospacing="1" w:line="360" w:lineRule="auto"/>
        <w:ind w:right="6" w:firstLine="1276"/>
        <w:jc w:val="both"/>
        <w:rPr>
          <w:color w:val="auto"/>
          <w:sz w:val="20"/>
          <w:szCs w:val="20"/>
        </w:rPr>
      </w:pP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8A6306"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8460E4" w:rsidRDefault="008460E4" w:rsidP="00C971DD">
      <w:pPr>
        <w:pStyle w:val="Default"/>
        <w:spacing w:before="100" w:beforeAutospacing="1" w:after="100" w:afterAutospacing="1" w:line="360" w:lineRule="auto"/>
        <w:ind w:right="6" w:firstLine="1276"/>
        <w:jc w:val="both"/>
        <w:rPr>
          <w:color w:val="auto"/>
          <w:sz w:val="20"/>
          <w:szCs w:val="20"/>
        </w:rPr>
      </w:pPr>
    </w:p>
    <w:p w:rsidR="008460E4" w:rsidRDefault="008460E4" w:rsidP="00C971DD">
      <w:pPr>
        <w:pStyle w:val="Default"/>
        <w:spacing w:before="100" w:beforeAutospacing="1" w:after="100" w:afterAutospacing="1" w:line="360" w:lineRule="auto"/>
        <w:ind w:right="6" w:firstLine="1276"/>
        <w:jc w:val="both"/>
        <w:rPr>
          <w:color w:val="auto"/>
          <w:sz w:val="20"/>
          <w:szCs w:val="20"/>
        </w:rPr>
      </w:pPr>
    </w:p>
    <w:p w:rsidR="008460E4" w:rsidRPr="00D16BEC" w:rsidRDefault="008460E4" w:rsidP="00C971DD">
      <w:pPr>
        <w:pStyle w:val="Default"/>
        <w:spacing w:before="100" w:beforeAutospacing="1" w:after="100" w:afterAutospacing="1" w:line="360" w:lineRule="auto"/>
        <w:ind w:right="6" w:firstLine="1276"/>
        <w:jc w:val="both"/>
        <w:rPr>
          <w:color w:val="auto"/>
          <w:sz w:val="20"/>
          <w:szCs w:val="20"/>
        </w:rPr>
      </w:pP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 xml:space="preserve">Fomento será </w:t>
      </w:r>
      <w:r w:rsidR="008460E4">
        <w:rPr>
          <w:color w:val="auto"/>
          <w:sz w:val="20"/>
          <w:szCs w:val="20"/>
        </w:rPr>
        <w:t xml:space="preserve">de 01 de janeiro de 2020 </w:t>
      </w:r>
      <w:proofErr w:type="gramStart"/>
      <w:r w:rsidR="008460E4">
        <w:rPr>
          <w:color w:val="auto"/>
          <w:sz w:val="20"/>
          <w:szCs w:val="20"/>
        </w:rPr>
        <w:t>à</w:t>
      </w:r>
      <w:proofErr w:type="gramEnd"/>
      <w:r w:rsidR="008460E4">
        <w:rPr>
          <w:color w:val="auto"/>
          <w:sz w:val="20"/>
          <w:szCs w:val="20"/>
        </w:rPr>
        <w:t xml:space="preserve"> 31 de dezembro de 2020</w:t>
      </w:r>
      <w:r w:rsidR="008A6306" w:rsidRPr="00D16BEC">
        <w:rPr>
          <w:color w:val="auto"/>
          <w:sz w:val="20"/>
          <w:szCs w:val="20"/>
        </w:rPr>
        <w:t>,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460E4" w:rsidRDefault="008460E4" w:rsidP="00C971DD">
      <w:pPr>
        <w:pStyle w:val="Default"/>
        <w:spacing w:before="100" w:beforeAutospacing="1" w:after="100" w:afterAutospacing="1" w:line="360" w:lineRule="auto"/>
        <w:ind w:right="6" w:firstLine="1276"/>
        <w:jc w:val="both"/>
        <w:rPr>
          <w:color w:val="auto"/>
          <w:sz w:val="20"/>
          <w:szCs w:val="20"/>
        </w:rPr>
      </w:pP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060AD7" w:rsidRDefault="0091642F" w:rsidP="00943A89">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343EC0">
        <w:rPr>
          <w:rFonts w:ascii="Arial" w:hAnsi="Arial" w:cs="Arial"/>
          <w:sz w:val="20"/>
          <w:szCs w:val="20"/>
        </w:rPr>
        <w:t>30</w:t>
      </w:r>
      <w:r w:rsidR="00532D5C" w:rsidRPr="00D16BEC">
        <w:rPr>
          <w:rFonts w:ascii="Arial" w:hAnsi="Arial" w:cs="Arial"/>
          <w:sz w:val="20"/>
          <w:szCs w:val="20"/>
        </w:rPr>
        <w:t xml:space="preserve"> (</w:t>
      </w:r>
      <w:r w:rsidR="00343EC0">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d) original dos comprovantes da despesa, emitidos em nome da organização da sociedade civil beneficiada (nota fiscal, cupom fiscal, guias de pagamento, folha de pagamento) com os devidos termos de aceite</w:t>
      </w:r>
      <w:proofErr w:type="gramStart"/>
      <w:r w:rsidRPr="00D16BEC">
        <w:rPr>
          <w:rFonts w:ascii="Arial" w:hAnsi="Arial" w:cs="Arial"/>
          <w:sz w:val="20"/>
          <w:szCs w:val="20"/>
        </w:rPr>
        <w:t>.;</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 - Após o recebimento da prestação de contas, o processo deve ser encaminhado via protocolo à Comissão de Monitoramento e Avaliação, para a análise no prazo máximo de 20 (vinte) </w:t>
      </w:r>
      <w:r w:rsidRPr="00D16BEC">
        <w:rPr>
          <w:rFonts w:ascii="Arial" w:hAnsi="Arial" w:cs="Arial"/>
          <w:sz w:val="20"/>
          <w:szCs w:val="20"/>
        </w:rPr>
        <w:lastRenderedPageBreak/>
        <w:t>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 gestor, após apreciação dos relatórios citados no art.</w:t>
      </w:r>
      <w:r w:rsidR="00E84D0B">
        <w:rPr>
          <w:rFonts w:ascii="Arial" w:hAnsi="Arial" w:cs="Arial"/>
          <w:sz w:val="20"/>
          <w:szCs w:val="20"/>
        </w:rPr>
        <w:t xml:space="preserve"> 59 e no inciso I do art. 60, do Decreto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regulares com ressalva, quando evidenciarem impropriedade ou qualquer outra falta de natureza formal de que não resulte em dano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dano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lastRenderedPageBreak/>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O responsável pela Unidade Gestora responde pela decisão sobre a aprovação da prestação de contas conforme o art. 63 d</w:t>
      </w:r>
      <w:r w:rsidR="00FD227A">
        <w:rPr>
          <w:rFonts w:ascii="Arial" w:hAnsi="Arial" w:cs="Arial"/>
          <w:sz w:val="20"/>
          <w:szCs w:val="20"/>
        </w:rPr>
        <w:t xml:space="preserve">o </w:t>
      </w:r>
      <w:r w:rsidR="00532D5C" w:rsidRPr="00D16BEC">
        <w:rPr>
          <w:rFonts w:ascii="Arial" w:hAnsi="Arial" w:cs="Arial"/>
          <w:sz w:val="20"/>
          <w:szCs w:val="20"/>
        </w:rPr>
        <w:t>Decreto</w:t>
      </w:r>
      <w:r w:rsidR="00FD227A">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8460E4" w:rsidRDefault="008460E4" w:rsidP="00C971DD">
      <w:pPr>
        <w:spacing w:line="360" w:lineRule="auto"/>
        <w:ind w:right="6" w:firstLine="1134"/>
        <w:jc w:val="both"/>
        <w:rPr>
          <w:rFonts w:ascii="Arial" w:hAnsi="Arial" w:cs="Arial"/>
          <w:sz w:val="20"/>
          <w:szCs w:val="20"/>
        </w:rPr>
      </w:pP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8460E4" w:rsidRDefault="008460E4"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8460E4" w:rsidRDefault="008460E4" w:rsidP="00C971DD">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lastRenderedPageBreak/>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8460E4" w:rsidRPr="00D16BEC" w:rsidRDefault="008460E4"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8460E4" w:rsidRDefault="008460E4" w:rsidP="00C971DD">
      <w:pPr>
        <w:autoSpaceDE w:val="0"/>
        <w:autoSpaceDN w:val="0"/>
        <w:adjustRightInd w:val="0"/>
        <w:spacing w:line="360" w:lineRule="auto"/>
        <w:ind w:right="6"/>
        <w:rPr>
          <w:rFonts w:ascii="Arial" w:eastAsiaTheme="minorHAnsi" w:hAnsi="Arial" w:cs="Arial"/>
          <w:b/>
          <w:bCs/>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8460E4" w:rsidRDefault="008460E4"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E84D0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E84D0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8460E4">
      <w:pPr>
        <w:autoSpaceDE w:val="0"/>
        <w:autoSpaceDN w:val="0"/>
        <w:adjustRightInd w:val="0"/>
        <w:spacing w:before="100" w:beforeAutospacing="1" w:after="100" w:afterAutospacing="1" w:line="360" w:lineRule="auto"/>
        <w:ind w:right="6" w:firstLine="1276"/>
        <w:rPr>
          <w:rFonts w:ascii="Arial" w:hAnsi="Arial" w:cs="Arial"/>
          <w:sz w:val="20"/>
          <w:szCs w:val="20"/>
        </w:rPr>
        <w:sectPr w:rsidR="00734078" w:rsidRPr="00D16BEC" w:rsidSect="008460E4">
          <w:pgSz w:w="11906" w:h="16838"/>
          <w:pgMar w:top="2835" w:right="1134" w:bottom="1701" w:left="1701" w:header="709" w:footer="709" w:gutter="0"/>
          <w:cols w:space="708"/>
          <w:docGrid w:linePitch="360"/>
        </w:sectPr>
      </w:pPr>
      <w:r w:rsidRPr="00D16BEC">
        <w:rPr>
          <w:rFonts w:ascii="Arial" w:hAnsi="Arial" w:cs="Arial"/>
          <w:sz w:val="20"/>
          <w:szCs w:val="20"/>
        </w:rPr>
        <w:t xml:space="preserve">Forquilhinha, SC, </w:t>
      </w:r>
      <w:r w:rsidR="008460E4">
        <w:rPr>
          <w:rFonts w:ascii="Arial" w:hAnsi="Arial" w:cs="Arial"/>
          <w:sz w:val="20"/>
          <w:szCs w:val="20"/>
        </w:rPr>
        <w:t>23</w:t>
      </w:r>
      <w:r w:rsidR="0022180B" w:rsidRPr="00D16BEC">
        <w:rPr>
          <w:rFonts w:ascii="Arial" w:hAnsi="Arial" w:cs="Arial"/>
          <w:sz w:val="20"/>
          <w:szCs w:val="20"/>
        </w:rPr>
        <w:t xml:space="preserve"> de </w:t>
      </w:r>
      <w:r w:rsidR="00343EC0">
        <w:rPr>
          <w:rFonts w:ascii="Arial" w:hAnsi="Arial" w:cs="Arial"/>
          <w:sz w:val="20"/>
          <w:szCs w:val="20"/>
        </w:rPr>
        <w:t>dezembro</w:t>
      </w:r>
      <w:r w:rsidR="0022180B" w:rsidRPr="00D16BEC">
        <w:rPr>
          <w:rFonts w:ascii="Arial" w:hAnsi="Arial" w:cs="Arial"/>
          <w:sz w:val="20"/>
          <w:szCs w:val="20"/>
        </w:rPr>
        <w:t xml:space="preserve"> </w:t>
      </w:r>
      <w:r w:rsidR="00943A89">
        <w:rPr>
          <w:rFonts w:ascii="Arial" w:hAnsi="Arial" w:cs="Arial"/>
          <w:sz w:val="20"/>
          <w:szCs w:val="20"/>
        </w:rPr>
        <w:t xml:space="preserve">de </w:t>
      </w:r>
      <w:r w:rsidR="008460E4">
        <w:rPr>
          <w:rFonts w:ascii="Arial" w:hAnsi="Arial" w:cs="Arial"/>
          <w:sz w:val="20"/>
          <w:szCs w:val="20"/>
        </w:rPr>
        <w:t>2019</w:t>
      </w:r>
      <w:r w:rsidR="00943A89">
        <w:rPr>
          <w:rFonts w:ascii="Arial" w:hAnsi="Arial" w:cs="Arial"/>
          <w:sz w:val="20"/>
          <w:szCs w:val="20"/>
        </w:rPr>
        <w:t>.</w:t>
      </w:r>
      <w:proofErr w:type="gramStart"/>
    </w:p>
    <w:p w:rsidR="00D16BEC" w:rsidRPr="00D16BEC" w:rsidRDefault="00D16BEC" w:rsidP="00943A89">
      <w:pPr>
        <w:tabs>
          <w:tab w:val="center" w:pos="4890"/>
        </w:tabs>
        <w:autoSpaceDE w:val="0"/>
        <w:autoSpaceDN w:val="0"/>
        <w:adjustRightInd w:val="0"/>
        <w:ind w:right="6"/>
        <w:rPr>
          <w:rFonts w:ascii="Arial" w:hAnsi="Arial" w:cs="Arial"/>
          <w:b/>
          <w:sz w:val="20"/>
          <w:szCs w:val="20"/>
        </w:rPr>
      </w:pPr>
      <w:proofErr w:type="gramEnd"/>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8460E4" w:rsidP="00C971DD">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DIMAS KAMMER</w:t>
      </w:r>
    </w:p>
    <w:p w:rsidR="00467AB5" w:rsidRPr="00D16BEC" w:rsidRDefault="008460E4" w:rsidP="00C971DD">
      <w:pPr>
        <w:autoSpaceDE w:val="0"/>
        <w:autoSpaceDN w:val="0"/>
        <w:adjustRightInd w:val="0"/>
        <w:ind w:right="6"/>
        <w:jc w:val="center"/>
        <w:rPr>
          <w:rFonts w:ascii="Arial" w:hAnsi="Arial" w:cs="Arial"/>
          <w:sz w:val="20"/>
          <w:szCs w:val="20"/>
        </w:rPr>
      </w:pPr>
      <w:r>
        <w:rPr>
          <w:rFonts w:ascii="Arial" w:hAnsi="Arial" w:cs="Arial"/>
          <w:sz w:val="20"/>
          <w:szCs w:val="20"/>
        </w:rPr>
        <w:t>Prefeito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0C4B2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w:t>
      </w:r>
      <w:r w:rsidR="000C4B2C">
        <w:rPr>
          <w:rFonts w:ascii="Arial" w:hAnsi="Arial" w:cs="Arial"/>
          <w:b/>
          <w:sz w:val="20"/>
          <w:szCs w:val="20"/>
        </w:rPr>
        <w:t>FORQUILHINHENSE DOS GRUPOS DE TERCEIRA IDADE</w:t>
      </w:r>
    </w:p>
    <w:p w:rsidR="00FF7E66" w:rsidRPr="00FF7E66" w:rsidRDefault="000C4B2C" w:rsidP="00FF7E66">
      <w:pPr>
        <w:autoSpaceDE w:val="0"/>
        <w:autoSpaceDN w:val="0"/>
        <w:adjustRightInd w:val="0"/>
        <w:ind w:right="6"/>
        <w:jc w:val="center"/>
        <w:rPr>
          <w:rFonts w:ascii="Arial" w:hAnsi="Arial" w:cs="Arial"/>
          <w:sz w:val="20"/>
          <w:szCs w:val="20"/>
        </w:rPr>
      </w:pPr>
      <w:r w:rsidRPr="00FF7E66">
        <w:rPr>
          <w:rFonts w:ascii="Arial" w:hAnsi="Arial" w:cs="Arial"/>
          <w:sz w:val="20"/>
          <w:szCs w:val="20"/>
        </w:rPr>
        <w:t>MIRIAM</w:t>
      </w:r>
      <w:r w:rsidR="00FF7E66" w:rsidRPr="00FF7E66">
        <w:rPr>
          <w:rFonts w:ascii="Arial" w:hAnsi="Arial" w:cs="Arial"/>
          <w:sz w:val="20"/>
          <w:szCs w:val="20"/>
        </w:rPr>
        <w:t xml:space="preserve"> DA SILVA BECKAUSER</w:t>
      </w:r>
    </w:p>
    <w:p w:rsidR="00DE0E53" w:rsidRPr="00D16BEC" w:rsidRDefault="00DE0E53"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 xml:space="preserve"> </w:t>
      </w:r>
      <w:r w:rsidR="00467AB5"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Default="00D16BEC" w:rsidP="00C971DD">
      <w:pPr>
        <w:autoSpaceDE w:val="0"/>
        <w:autoSpaceDN w:val="0"/>
        <w:adjustRightInd w:val="0"/>
        <w:ind w:right="6"/>
        <w:rPr>
          <w:rFonts w:ascii="Arial" w:hAnsi="Arial" w:cs="Arial"/>
          <w:sz w:val="20"/>
          <w:szCs w:val="20"/>
        </w:rPr>
      </w:pPr>
    </w:p>
    <w:p w:rsidR="00943A89" w:rsidRPr="00D16BEC" w:rsidRDefault="00943A89"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8460E4" w:rsidRDefault="008460E4"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8460E4">
        <w:rPr>
          <w:rFonts w:ascii="Arial" w:hAnsi="Arial" w:cs="Arial"/>
          <w:sz w:val="20"/>
        </w:rPr>
        <w:t>04</w:t>
      </w:r>
      <w:r w:rsidRPr="00D16BEC">
        <w:rPr>
          <w:rFonts w:ascii="Arial" w:hAnsi="Arial" w:cs="Arial"/>
          <w:sz w:val="20"/>
        </w:rPr>
        <w:t>/</w:t>
      </w:r>
      <w:r w:rsidR="008460E4">
        <w:rPr>
          <w:rFonts w:ascii="Arial" w:hAnsi="Arial" w:cs="Arial"/>
          <w:sz w:val="20"/>
        </w:rPr>
        <w:t>2019</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8460E4">
        <w:rPr>
          <w:rFonts w:ascii="Arial" w:hAnsi="Arial" w:cs="Arial"/>
          <w:sz w:val="20"/>
        </w:rPr>
        <w:t>18</w:t>
      </w:r>
      <w:r w:rsidRPr="00D16BEC">
        <w:rPr>
          <w:rFonts w:ascii="Arial" w:hAnsi="Arial" w:cs="Arial"/>
          <w:sz w:val="20"/>
        </w:rPr>
        <w:t>/</w:t>
      </w:r>
      <w:r w:rsidR="00343EC0">
        <w:rPr>
          <w:rFonts w:ascii="Arial" w:hAnsi="Arial" w:cs="Arial"/>
          <w:sz w:val="20"/>
        </w:rPr>
        <w:t>201</w:t>
      </w:r>
      <w:r w:rsidR="008460E4">
        <w:rPr>
          <w:rFonts w:ascii="Arial" w:hAnsi="Arial" w:cs="Arial"/>
          <w:sz w:val="20"/>
        </w:rPr>
        <w:t>9</w:t>
      </w:r>
      <w:r w:rsidRPr="00D16BEC">
        <w:rPr>
          <w:rFonts w:ascii="Arial" w:hAnsi="Arial" w:cs="Arial"/>
          <w:sz w:val="20"/>
        </w:rPr>
        <w:t>.</w:t>
      </w:r>
    </w:p>
    <w:p w:rsidR="00FF7E66" w:rsidRDefault="00324785" w:rsidP="00324785">
      <w:pPr>
        <w:pStyle w:val="Corpodetexto2"/>
        <w:spacing w:line="360" w:lineRule="auto"/>
        <w:rPr>
          <w:rFonts w:ascii="Arial" w:hAnsi="Arial" w:cs="Arial"/>
          <w:sz w:val="20"/>
        </w:rPr>
      </w:pPr>
      <w:r w:rsidRPr="00D16BEC">
        <w:rPr>
          <w:rFonts w:ascii="Arial" w:hAnsi="Arial" w:cs="Arial"/>
          <w:b/>
          <w:sz w:val="20"/>
        </w:rPr>
        <w:t>OSC PROPONENTE</w:t>
      </w:r>
      <w:r w:rsidRPr="00D16BEC">
        <w:rPr>
          <w:rFonts w:ascii="Arial" w:hAnsi="Arial" w:cs="Arial"/>
          <w:sz w:val="20"/>
        </w:rPr>
        <w:t xml:space="preserve">: Associação </w:t>
      </w:r>
      <w:r w:rsidR="00FF7E66">
        <w:rPr>
          <w:rFonts w:ascii="Arial" w:hAnsi="Arial" w:cs="Arial"/>
          <w:sz w:val="20"/>
        </w:rPr>
        <w:t>Forquilhinhense dos Grupos da Terceira Idade</w:t>
      </w:r>
    </w:p>
    <w:p w:rsidR="00324785" w:rsidRPr="00D16BEC" w:rsidRDefault="00324785" w:rsidP="00324785">
      <w:pPr>
        <w:spacing w:line="360" w:lineRule="auto"/>
        <w:jc w:val="both"/>
        <w:rPr>
          <w:rFonts w:ascii="Arial" w:hAnsi="Arial" w:cs="Arial"/>
          <w:sz w:val="20"/>
          <w:szCs w:val="20"/>
        </w:rPr>
      </w:pPr>
    </w:p>
    <w:p w:rsidR="00324785" w:rsidRPr="00A02127" w:rsidRDefault="00A02127" w:rsidP="00A02127">
      <w:pPr>
        <w:spacing w:before="100" w:beforeAutospacing="1" w:after="100" w:afterAutospacing="1" w:line="360" w:lineRule="auto"/>
        <w:ind w:right="6"/>
        <w:jc w:val="both"/>
        <w:rPr>
          <w:rFonts w:ascii="Arial" w:eastAsia="Arial Narrow" w:hAnsi="Arial" w:cs="Arial"/>
          <w:bCs/>
          <w:sz w:val="20"/>
          <w:szCs w:val="20"/>
        </w:rPr>
      </w:pPr>
      <w:r>
        <w:rPr>
          <w:rFonts w:ascii="Arial" w:eastAsia="Arial Narrow" w:hAnsi="Arial" w:cs="Arial"/>
          <w:b/>
          <w:bCs/>
          <w:sz w:val="20"/>
          <w:szCs w:val="20"/>
        </w:rPr>
        <w:t>OBJETO:</w:t>
      </w:r>
      <w:r w:rsidRPr="00D16BEC">
        <w:rPr>
          <w:rFonts w:ascii="Arial" w:eastAsia="Arial Narrow" w:hAnsi="Arial" w:cs="Arial"/>
          <w:bCs/>
          <w:sz w:val="20"/>
          <w:szCs w:val="20"/>
        </w:rPr>
        <w:t xml:space="preserve"> O presente Termo de Fomento, decorrente do Processo de Inexigibilidade de Chamamento Público nº </w:t>
      </w:r>
      <w:r w:rsidR="007B037D">
        <w:rPr>
          <w:rFonts w:ascii="Arial" w:eastAsia="Arial Narrow" w:hAnsi="Arial" w:cs="Arial"/>
          <w:bCs/>
          <w:sz w:val="20"/>
          <w:szCs w:val="20"/>
        </w:rPr>
        <w:t>18</w:t>
      </w:r>
      <w:r w:rsidRPr="00D16BEC">
        <w:rPr>
          <w:rFonts w:ascii="Arial" w:eastAsia="Arial Narrow" w:hAnsi="Arial" w:cs="Arial"/>
          <w:bCs/>
          <w:sz w:val="20"/>
          <w:szCs w:val="20"/>
        </w:rPr>
        <w:t>/</w:t>
      </w:r>
      <w:r w:rsidR="00343EC0">
        <w:rPr>
          <w:rFonts w:ascii="Arial" w:eastAsia="Arial Narrow" w:hAnsi="Arial" w:cs="Arial"/>
          <w:bCs/>
          <w:sz w:val="20"/>
          <w:szCs w:val="20"/>
        </w:rPr>
        <w:t>201</w:t>
      </w:r>
      <w:r w:rsidR="007B037D">
        <w:rPr>
          <w:rFonts w:ascii="Arial" w:eastAsia="Arial Narrow" w:hAnsi="Arial" w:cs="Arial"/>
          <w:bCs/>
          <w:sz w:val="20"/>
          <w:szCs w:val="20"/>
        </w:rPr>
        <w:t>9</w:t>
      </w:r>
      <w:r w:rsidRPr="00D16BEC">
        <w:rPr>
          <w:rFonts w:ascii="Arial" w:eastAsia="Arial Narrow" w:hAnsi="Arial" w:cs="Arial"/>
          <w:bCs/>
          <w:sz w:val="20"/>
          <w:szCs w:val="20"/>
        </w:rPr>
        <w:t xml:space="preserve">, tem por objeto a transferência de recursos financeiros para a consecução de serviços de </w:t>
      </w:r>
      <w:r>
        <w:rPr>
          <w:rFonts w:ascii="Arial" w:eastAsia="Arial Narrow" w:hAnsi="Arial" w:cs="Arial"/>
          <w:bCs/>
          <w:sz w:val="20"/>
          <w:szCs w:val="20"/>
        </w:rPr>
        <w:t>assistência a velhice assegurando o atendimento ao idoso, preconizando a valorização do ser humano por meio de programas de integração social, atividades culturais e recreativas e demais ações que propiciem a proteção e a inclusão dos idosos residentes em Forquilhinha com a consequente melhoria da qualidade de vida</w:t>
      </w:r>
      <w:r w:rsidRPr="00D16BEC">
        <w:rPr>
          <w:rFonts w:ascii="Arial" w:eastAsia="Arial Narrow" w:hAnsi="Arial" w:cs="Arial"/>
          <w:bCs/>
          <w:sz w:val="20"/>
          <w:szCs w:val="20"/>
        </w:rPr>
        <w:t>, conforme detalhado no Plano de Trabalho.</w:t>
      </w:r>
    </w:p>
    <w:p w:rsidR="00343EC0" w:rsidRDefault="00324785" w:rsidP="00324785">
      <w:pPr>
        <w:spacing w:line="360" w:lineRule="auto"/>
        <w:jc w:val="both"/>
        <w:rPr>
          <w:rFonts w:ascii="Arial" w:hAnsi="Arial" w:cs="Arial"/>
          <w:sz w:val="20"/>
          <w:szCs w:val="20"/>
        </w:rPr>
      </w:pPr>
      <w:r w:rsidRPr="00E84D0B">
        <w:rPr>
          <w:rFonts w:ascii="Arial" w:hAnsi="Arial" w:cs="Arial"/>
          <w:b/>
          <w:sz w:val="20"/>
          <w:szCs w:val="20"/>
        </w:rPr>
        <w:t>VALOR</w:t>
      </w:r>
      <w:r w:rsidRPr="00E84D0B">
        <w:rPr>
          <w:rFonts w:ascii="Arial" w:hAnsi="Arial" w:cs="Arial"/>
          <w:sz w:val="20"/>
          <w:szCs w:val="20"/>
        </w:rPr>
        <w:t xml:space="preserve">: R$ </w:t>
      </w:r>
      <w:r w:rsidR="007B037D">
        <w:rPr>
          <w:rFonts w:ascii="Arial" w:hAnsi="Arial" w:cs="Arial"/>
          <w:sz w:val="20"/>
          <w:szCs w:val="20"/>
        </w:rPr>
        <w:t>176.897,36 (cento e setenta e seis mil, oitocentos e noventa e sete reais e trinta e seis centavos)</w:t>
      </w:r>
      <w:r w:rsidR="00343EC0">
        <w:rPr>
          <w:rFonts w:ascii="Arial" w:hAnsi="Arial" w:cs="Arial"/>
          <w:sz w:val="20"/>
          <w:szCs w:val="20"/>
        </w:rPr>
        <w:t>.</w:t>
      </w:r>
    </w:p>
    <w:p w:rsidR="00324785" w:rsidRPr="00E84D0B" w:rsidRDefault="00343EC0" w:rsidP="00324785">
      <w:pPr>
        <w:spacing w:line="360" w:lineRule="auto"/>
        <w:jc w:val="both"/>
        <w:rPr>
          <w:rFonts w:ascii="Arial" w:hAnsi="Arial" w:cs="Arial"/>
          <w:sz w:val="20"/>
          <w:szCs w:val="20"/>
        </w:rPr>
      </w:pPr>
      <w:r w:rsidRPr="00E84D0B">
        <w:rPr>
          <w:rFonts w:ascii="Arial" w:hAnsi="Arial" w:cs="Arial"/>
          <w:sz w:val="20"/>
          <w:szCs w:val="20"/>
        </w:rPr>
        <w:t xml:space="preserve"> </w:t>
      </w: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VIGENCIA</w:t>
      </w:r>
      <w:r w:rsidRPr="00E84D0B">
        <w:rPr>
          <w:rFonts w:ascii="Arial" w:hAnsi="Arial" w:cs="Arial"/>
          <w:sz w:val="20"/>
          <w:szCs w:val="20"/>
        </w:rPr>
        <w:t>: 31/12/</w:t>
      </w:r>
      <w:r w:rsidR="007B037D">
        <w:rPr>
          <w:rFonts w:ascii="Arial" w:hAnsi="Arial" w:cs="Arial"/>
          <w:sz w:val="20"/>
          <w:szCs w:val="20"/>
        </w:rPr>
        <w:t>2020.</w:t>
      </w:r>
    </w:p>
    <w:p w:rsidR="00324785" w:rsidRPr="00E84D0B" w:rsidRDefault="00324785" w:rsidP="00324785">
      <w:pPr>
        <w:spacing w:line="360" w:lineRule="auto"/>
        <w:jc w:val="both"/>
        <w:rPr>
          <w:rFonts w:ascii="Arial" w:hAnsi="Arial" w:cs="Arial"/>
          <w:sz w:val="20"/>
          <w:szCs w:val="20"/>
        </w:rPr>
      </w:pPr>
    </w:p>
    <w:p w:rsidR="00A02127" w:rsidRPr="007B037D" w:rsidRDefault="00324785" w:rsidP="007B037D">
      <w:pPr>
        <w:tabs>
          <w:tab w:val="left" w:pos="5565"/>
        </w:tabs>
        <w:spacing w:line="360" w:lineRule="auto"/>
        <w:jc w:val="both"/>
        <w:rPr>
          <w:rFonts w:ascii="Arial" w:hAnsi="Arial" w:cs="Arial"/>
          <w:sz w:val="20"/>
          <w:szCs w:val="20"/>
        </w:rPr>
      </w:pPr>
      <w:r w:rsidRPr="007B037D">
        <w:rPr>
          <w:rFonts w:ascii="Arial" w:hAnsi="Arial" w:cs="Arial"/>
          <w:b/>
          <w:sz w:val="20"/>
          <w:szCs w:val="20"/>
        </w:rPr>
        <w:t>DOTAÇÃO ORÇAMENTÁRIA</w:t>
      </w:r>
      <w:r w:rsidRPr="007B037D">
        <w:rPr>
          <w:rFonts w:ascii="Arial" w:hAnsi="Arial" w:cs="Arial"/>
          <w:sz w:val="20"/>
          <w:szCs w:val="20"/>
        </w:rPr>
        <w:t xml:space="preserve">: </w:t>
      </w:r>
      <w:r w:rsidR="007B037D" w:rsidRPr="007B037D">
        <w:rPr>
          <w:rFonts w:ascii="Arial" w:hAnsi="Arial" w:cs="Arial"/>
          <w:sz w:val="20"/>
          <w:szCs w:val="20"/>
        </w:rPr>
        <w:t>16.01-2.045-3.3.50.00.01.00</w:t>
      </w:r>
    </w:p>
    <w:p w:rsidR="00324785" w:rsidRPr="00E84D0B" w:rsidRDefault="00324785" w:rsidP="00324785">
      <w:pPr>
        <w:spacing w:line="360" w:lineRule="auto"/>
        <w:jc w:val="both"/>
        <w:rPr>
          <w:rFonts w:ascii="Arial" w:hAnsi="Arial" w:cs="Arial"/>
          <w:sz w:val="20"/>
          <w:szCs w:val="20"/>
        </w:rPr>
      </w:pP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FUNDAMENTO LEGAL</w:t>
      </w:r>
      <w:r w:rsidRPr="00E84D0B">
        <w:rPr>
          <w:rFonts w:ascii="Arial" w:hAnsi="Arial" w:cs="Arial"/>
          <w:sz w:val="20"/>
          <w:szCs w:val="20"/>
        </w:rPr>
        <w:t>: Leis Federais 13.019/2014 e 13.204/2015, Decreto Municipal 199/2017.</w:t>
      </w:r>
    </w:p>
    <w:p w:rsidR="00324785" w:rsidRPr="00E84D0B" w:rsidRDefault="00324785" w:rsidP="00324785">
      <w:pPr>
        <w:spacing w:line="360" w:lineRule="auto"/>
        <w:jc w:val="both"/>
        <w:rPr>
          <w:rFonts w:ascii="Arial" w:hAnsi="Arial" w:cs="Arial"/>
          <w:sz w:val="20"/>
          <w:szCs w:val="20"/>
        </w:rPr>
      </w:pP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DATA DA ASSINATURA</w:t>
      </w:r>
      <w:r w:rsidRPr="00E84D0B">
        <w:rPr>
          <w:rFonts w:ascii="Arial" w:hAnsi="Arial" w:cs="Arial"/>
          <w:sz w:val="20"/>
          <w:szCs w:val="20"/>
        </w:rPr>
        <w:t xml:space="preserve">: </w:t>
      </w:r>
      <w:r w:rsidR="007B037D">
        <w:rPr>
          <w:rFonts w:ascii="Arial" w:hAnsi="Arial" w:cs="Arial"/>
          <w:sz w:val="20"/>
          <w:szCs w:val="20"/>
        </w:rPr>
        <w:t>23</w:t>
      </w:r>
      <w:r w:rsidRPr="00E84D0B">
        <w:rPr>
          <w:rFonts w:ascii="Arial" w:hAnsi="Arial" w:cs="Arial"/>
          <w:sz w:val="20"/>
          <w:szCs w:val="20"/>
        </w:rPr>
        <w:t xml:space="preserve"> de </w:t>
      </w:r>
      <w:r w:rsidR="00343EC0">
        <w:rPr>
          <w:rFonts w:ascii="Arial" w:hAnsi="Arial" w:cs="Arial"/>
          <w:sz w:val="20"/>
          <w:szCs w:val="20"/>
        </w:rPr>
        <w:t>dezembro</w:t>
      </w:r>
      <w:r w:rsidRPr="00E84D0B">
        <w:rPr>
          <w:rFonts w:ascii="Arial" w:hAnsi="Arial" w:cs="Arial"/>
          <w:sz w:val="20"/>
          <w:szCs w:val="20"/>
        </w:rPr>
        <w:t xml:space="preserve"> de </w:t>
      </w:r>
      <w:r w:rsidR="007B037D">
        <w:rPr>
          <w:rFonts w:ascii="Arial" w:hAnsi="Arial" w:cs="Arial"/>
          <w:sz w:val="20"/>
          <w:szCs w:val="20"/>
        </w:rPr>
        <w:t>2019</w:t>
      </w:r>
      <w:r w:rsidRPr="00E84D0B">
        <w:rPr>
          <w:rFonts w:ascii="Arial" w:hAnsi="Arial" w:cs="Arial"/>
          <w:sz w:val="20"/>
          <w:szCs w:val="20"/>
        </w:rPr>
        <w:t>.</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E84D0B" w:rsidRPr="00E84D0B" w:rsidRDefault="007B037D" w:rsidP="00E84D0B">
      <w:pPr>
        <w:pStyle w:val="Ttulo7"/>
        <w:rPr>
          <w:rFonts w:ascii="Arial" w:hAnsi="Arial" w:cs="Arial"/>
        </w:rPr>
      </w:pPr>
      <w:r>
        <w:rPr>
          <w:rFonts w:ascii="Arial" w:hAnsi="Arial" w:cs="Arial"/>
        </w:rPr>
        <w:t>DIMAS KAMMER</w:t>
      </w:r>
    </w:p>
    <w:p w:rsidR="00324785" w:rsidRPr="00D16BEC" w:rsidRDefault="00D16BEC" w:rsidP="00324785">
      <w:pPr>
        <w:spacing w:line="360" w:lineRule="auto"/>
        <w:jc w:val="center"/>
        <w:rPr>
          <w:rFonts w:ascii="Arial" w:hAnsi="Arial" w:cs="Arial"/>
          <w:sz w:val="20"/>
          <w:szCs w:val="20"/>
        </w:rPr>
      </w:pPr>
      <w:r>
        <w:rPr>
          <w:rFonts w:ascii="Arial" w:hAnsi="Arial" w:cs="Arial"/>
          <w:sz w:val="20"/>
          <w:szCs w:val="20"/>
        </w:rPr>
        <w:t>P</w:t>
      </w:r>
      <w:r w:rsidR="007B037D">
        <w:rPr>
          <w:rFonts w:ascii="Arial" w:hAnsi="Arial" w:cs="Arial"/>
          <w:sz w:val="20"/>
          <w:szCs w:val="20"/>
        </w:rPr>
        <w:t>refeito</w:t>
      </w:r>
    </w:p>
    <w:p w:rsidR="00324785" w:rsidRPr="00D16BEC" w:rsidRDefault="00324785" w:rsidP="00324785">
      <w:pPr>
        <w:pStyle w:val="Corpodetexto"/>
        <w:spacing w:line="360" w:lineRule="auto"/>
        <w:rPr>
          <w:rFonts w:ascii="Arial" w:hAnsi="Arial" w:cs="Arial"/>
          <w:b w:val="0"/>
          <w:bCs w:val="0"/>
          <w:i/>
          <w:iCs/>
          <w:sz w:val="20"/>
        </w:rPr>
      </w:pP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bookmarkStart w:id="2" w:name="_GoBack"/>
      <w:bookmarkEnd w:id="2"/>
    </w:p>
    <w:p w:rsidR="00B651F8" w:rsidRPr="00D16BEC"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D16BEC"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C4B2C"/>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C6120"/>
    <w:rsid w:val="001D3AD7"/>
    <w:rsid w:val="001D6CEA"/>
    <w:rsid w:val="001E12B9"/>
    <w:rsid w:val="001E1E33"/>
    <w:rsid w:val="001E2332"/>
    <w:rsid w:val="001F09E8"/>
    <w:rsid w:val="0020609D"/>
    <w:rsid w:val="0021161E"/>
    <w:rsid w:val="0022180B"/>
    <w:rsid w:val="00226CAF"/>
    <w:rsid w:val="00230062"/>
    <w:rsid w:val="00230E54"/>
    <w:rsid w:val="00231484"/>
    <w:rsid w:val="00240E2C"/>
    <w:rsid w:val="0025062B"/>
    <w:rsid w:val="00254645"/>
    <w:rsid w:val="0027121A"/>
    <w:rsid w:val="002742C7"/>
    <w:rsid w:val="00275C4C"/>
    <w:rsid w:val="00276E09"/>
    <w:rsid w:val="00287C4C"/>
    <w:rsid w:val="002900FC"/>
    <w:rsid w:val="002917CA"/>
    <w:rsid w:val="00295F50"/>
    <w:rsid w:val="002A0BB8"/>
    <w:rsid w:val="002B2948"/>
    <w:rsid w:val="002B30A7"/>
    <w:rsid w:val="002B786B"/>
    <w:rsid w:val="002C0EF1"/>
    <w:rsid w:val="002C1DFE"/>
    <w:rsid w:val="002C3C5A"/>
    <w:rsid w:val="002C63D9"/>
    <w:rsid w:val="002D0B72"/>
    <w:rsid w:val="002D452D"/>
    <w:rsid w:val="002D472F"/>
    <w:rsid w:val="002E08A0"/>
    <w:rsid w:val="002E0E60"/>
    <w:rsid w:val="002E24CD"/>
    <w:rsid w:val="002E5D69"/>
    <w:rsid w:val="002E7830"/>
    <w:rsid w:val="00301527"/>
    <w:rsid w:val="00305454"/>
    <w:rsid w:val="00316B22"/>
    <w:rsid w:val="003219CF"/>
    <w:rsid w:val="00324785"/>
    <w:rsid w:val="00335B55"/>
    <w:rsid w:val="0034249F"/>
    <w:rsid w:val="00343EC0"/>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4824"/>
    <w:rsid w:val="003E1875"/>
    <w:rsid w:val="003E4170"/>
    <w:rsid w:val="003F0BB1"/>
    <w:rsid w:val="003F20DF"/>
    <w:rsid w:val="004014EC"/>
    <w:rsid w:val="00401824"/>
    <w:rsid w:val="004066FA"/>
    <w:rsid w:val="00450314"/>
    <w:rsid w:val="00452353"/>
    <w:rsid w:val="004559B6"/>
    <w:rsid w:val="00462B61"/>
    <w:rsid w:val="00465797"/>
    <w:rsid w:val="00467AB5"/>
    <w:rsid w:val="004701D6"/>
    <w:rsid w:val="00484EAF"/>
    <w:rsid w:val="004967C2"/>
    <w:rsid w:val="004978D2"/>
    <w:rsid w:val="004B0302"/>
    <w:rsid w:val="004C68AB"/>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6097E"/>
    <w:rsid w:val="00561FAD"/>
    <w:rsid w:val="00562A4E"/>
    <w:rsid w:val="00563550"/>
    <w:rsid w:val="00570825"/>
    <w:rsid w:val="005715A7"/>
    <w:rsid w:val="0059093F"/>
    <w:rsid w:val="00595B9B"/>
    <w:rsid w:val="005A0148"/>
    <w:rsid w:val="005A2E34"/>
    <w:rsid w:val="005C4ED2"/>
    <w:rsid w:val="005D40F9"/>
    <w:rsid w:val="005E125E"/>
    <w:rsid w:val="005E1313"/>
    <w:rsid w:val="005E2333"/>
    <w:rsid w:val="005E393A"/>
    <w:rsid w:val="005E4396"/>
    <w:rsid w:val="005F05E1"/>
    <w:rsid w:val="00605981"/>
    <w:rsid w:val="00613C20"/>
    <w:rsid w:val="006151E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037D"/>
    <w:rsid w:val="007B5169"/>
    <w:rsid w:val="007C19D5"/>
    <w:rsid w:val="007C41AC"/>
    <w:rsid w:val="007D50AA"/>
    <w:rsid w:val="007E0211"/>
    <w:rsid w:val="007E1656"/>
    <w:rsid w:val="007F18A7"/>
    <w:rsid w:val="007F5369"/>
    <w:rsid w:val="007F7220"/>
    <w:rsid w:val="008011D7"/>
    <w:rsid w:val="0080560F"/>
    <w:rsid w:val="008353EA"/>
    <w:rsid w:val="00844FC6"/>
    <w:rsid w:val="008460E4"/>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43A89"/>
    <w:rsid w:val="00951A2A"/>
    <w:rsid w:val="009864C7"/>
    <w:rsid w:val="00987460"/>
    <w:rsid w:val="00990FBF"/>
    <w:rsid w:val="009932BC"/>
    <w:rsid w:val="009A5960"/>
    <w:rsid w:val="009B7FBE"/>
    <w:rsid w:val="009C2408"/>
    <w:rsid w:val="00A02127"/>
    <w:rsid w:val="00A141E1"/>
    <w:rsid w:val="00A14F42"/>
    <w:rsid w:val="00A32CD2"/>
    <w:rsid w:val="00A51345"/>
    <w:rsid w:val="00A54BF5"/>
    <w:rsid w:val="00A563EE"/>
    <w:rsid w:val="00A66647"/>
    <w:rsid w:val="00A67D2E"/>
    <w:rsid w:val="00A7366D"/>
    <w:rsid w:val="00A8310C"/>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66E6F"/>
    <w:rsid w:val="00B821E6"/>
    <w:rsid w:val="00B8341E"/>
    <w:rsid w:val="00B94F14"/>
    <w:rsid w:val="00BA0FEC"/>
    <w:rsid w:val="00BB691C"/>
    <w:rsid w:val="00BC1EC4"/>
    <w:rsid w:val="00BC7C83"/>
    <w:rsid w:val="00BE061E"/>
    <w:rsid w:val="00BF609B"/>
    <w:rsid w:val="00C06547"/>
    <w:rsid w:val="00C13EE3"/>
    <w:rsid w:val="00C14B8E"/>
    <w:rsid w:val="00C212C5"/>
    <w:rsid w:val="00C5721F"/>
    <w:rsid w:val="00C65424"/>
    <w:rsid w:val="00C717BE"/>
    <w:rsid w:val="00C87F85"/>
    <w:rsid w:val="00C90595"/>
    <w:rsid w:val="00C91D84"/>
    <w:rsid w:val="00C92D3E"/>
    <w:rsid w:val="00C93222"/>
    <w:rsid w:val="00C971DD"/>
    <w:rsid w:val="00CB3C5E"/>
    <w:rsid w:val="00CB79EF"/>
    <w:rsid w:val="00CC102A"/>
    <w:rsid w:val="00CD08D3"/>
    <w:rsid w:val="00CD0BC2"/>
    <w:rsid w:val="00CD1C03"/>
    <w:rsid w:val="00CD649E"/>
    <w:rsid w:val="00CE0641"/>
    <w:rsid w:val="00CE6BD2"/>
    <w:rsid w:val="00CF39BC"/>
    <w:rsid w:val="00CF506A"/>
    <w:rsid w:val="00CF5503"/>
    <w:rsid w:val="00CF63E7"/>
    <w:rsid w:val="00D10BEC"/>
    <w:rsid w:val="00D16BEC"/>
    <w:rsid w:val="00D27CB0"/>
    <w:rsid w:val="00D5680B"/>
    <w:rsid w:val="00D6170F"/>
    <w:rsid w:val="00D74F0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3C91"/>
    <w:rsid w:val="00E75F8F"/>
    <w:rsid w:val="00E84D0B"/>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1840"/>
    <w:rsid w:val="00F37EB0"/>
    <w:rsid w:val="00F4110A"/>
    <w:rsid w:val="00F41131"/>
    <w:rsid w:val="00F47434"/>
    <w:rsid w:val="00F67815"/>
    <w:rsid w:val="00F84C82"/>
    <w:rsid w:val="00F85E61"/>
    <w:rsid w:val="00F944CA"/>
    <w:rsid w:val="00F9738A"/>
    <w:rsid w:val="00FA3C67"/>
    <w:rsid w:val="00FA738F"/>
    <w:rsid w:val="00FB0743"/>
    <w:rsid w:val="00FB1024"/>
    <w:rsid w:val="00FD227A"/>
    <w:rsid w:val="00FF1DBC"/>
    <w:rsid w:val="00FF7B95"/>
    <w:rsid w:val="00FF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483C-BD91-4610-A20E-95FFF5AB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5283</Words>
  <Characters>28531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3</cp:revision>
  <cp:lastPrinted>2018-01-04T13:50:00Z</cp:lastPrinted>
  <dcterms:created xsi:type="dcterms:W3CDTF">2019-12-17T11:44:00Z</dcterms:created>
  <dcterms:modified xsi:type="dcterms:W3CDTF">2019-12-17T11:54:00Z</dcterms:modified>
</cp:coreProperties>
</file>