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DA" w:rsidRPr="00D44044" w:rsidRDefault="004819DA" w:rsidP="004819D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044">
        <w:rPr>
          <w:rFonts w:ascii="Arial" w:hAnsi="Arial" w:cs="Arial"/>
          <w:b/>
          <w:bCs/>
          <w:sz w:val="24"/>
          <w:szCs w:val="24"/>
        </w:rPr>
        <w:t>MUNICÍPIO DE FORQUILHINHA/SC</w:t>
      </w:r>
    </w:p>
    <w:p w:rsidR="004819DA" w:rsidRPr="00D44044" w:rsidRDefault="004819DA" w:rsidP="004819D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044">
        <w:rPr>
          <w:rFonts w:ascii="Arial" w:hAnsi="Arial" w:cs="Arial"/>
          <w:b/>
          <w:bCs/>
          <w:sz w:val="24"/>
          <w:szCs w:val="24"/>
        </w:rPr>
        <w:t>CONSELHO MUNICIPAL DOS DIREITOS DA CRIANÇA E DO ADOLESCENTE / CMDCA</w:t>
      </w:r>
    </w:p>
    <w:p w:rsidR="004819DA" w:rsidRPr="00D44044" w:rsidRDefault="004819DA" w:rsidP="004819D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044">
        <w:rPr>
          <w:rFonts w:ascii="Arial" w:hAnsi="Arial" w:cs="Arial"/>
          <w:b/>
          <w:bCs/>
          <w:sz w:val="24"/>
          <w:szCs w:val="24"/>
        </w:rPr>
        <w:t xml:space="preserve">PROCESSO DE ELEIÇÃO DOS CONSELHEIROS TUTELARES </w:t>
      </w:r>
    </w:p>
    <w:p w:rsidR="004819DA" w:rsidRPr="00D44044" w:rsidRDefault="004819DA" w:rsidP="004819D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044">
        <w:rPr>
          <w:rFonts w:ascii="Arial" w:hAnsi="Arial" w:cs="Arial"/>
          <w:b/>
          <w:bCs/>
          <w:sz w:val="24"/>
          <w:szCs w:val="24"/>
        </w:rPr>
        <w:t>EDITAL 01/2019</w:t>
      </w:r>
    </w:p>
    <w:p w:rsidR="004819DA" w:rsidRPr="00D44044" w:rsidRDefault="004819DA" w:rsidP="004819DA">
      <w:pPr>
        <w:pStyle w:val="PSTextoParagrafo"/>
        <w:shd w:val="clear" w:color="auto" w:fill="AEAAAA" w:themeFill="background2" w:themeFillShade="BF"/>
        <w:spacing w:before="0"/>
        <w:rPr>
          <w:sz w:val="24"/>
          <w:szCs w:val="24"/>
        </w:rPr>
      </w:pPr>
    </w:p>
    <w:p w:rsidR="004819DA" w:rsidRPr="00D44044" w:rsidRDefault="004819DA" w:rsidP="004819DA">
      <w:pPr>
        <w:shd w:val="clear" w:color="auto" w:fill="AEAAAA" w:themeFill="background2" w:themeFillShade="BF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44044">
        <w:rPr>
          <w:rFonts w:ascii="Arial" w:hAnsi="Arial" w:cs="Arial"/>
          <w:b/>
          <w:bCs/>
          <w:sz w:val="24"/>
          <w:szCs w:val="24"/>
        </w:rPr>
        <w:t>PUBLICAÇÃO DA DATA, HORARIO, LOCAL E REGRAS DA PROVA OBJETIVA</w:t>
      </w:r>
      <w:bookmarkEnd w:id="0"/>
      <w:r w:rsidRPr="00D440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19DA" w:rsidRPr="00D44044" w:rsidRDefault="004819DA" w:rsidP="004819DA">
      <w:pPr>
        <w:shd w:val="clear" w:color="auto" w:fill="AEAAAA" w:themeFill="background2" w:themeFillShade="BF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819DA" w:rsidRPr="00D44044" w:rsidRDefault="004819DA" w:rsidP="004819DA">
      <w:pPr>
        <w:pStyle w:val="PSTextoParagrafo"/>
        <w:spacing w:before="0"/>
        <w:rPr>
          <w:sz w:val="24"/>
          <w:szCs w:val="24"/>
        </w:rPr>
      </w:pPr>
    </w:p>
    <w:p w:rsidR="004819DA" w:rsidRPr="00D44044" w:rsidRDefault="004819DA" w:rsidP="004819DA">
      <w:pPr>
        <w:pStyle w:val="PSTextoParagrafo"/>
        <w:spacing w:before="0"/>
        <w:rPr>
          <w:sz w:val="24"/>
          <w:szCs w:val="24"/>
        </w:rPr>
      </w:pPr>
      <w:r w:rsidRPr="00D44044">
        <w:rPr>
          <w:sz w:val="24"/>
          <w:szCs w:val="24"/>
        </w:rPr>
        <w:t xml:space="preserve">O presidente do Conselho Municipal da Criança e do Adolescente – CMDCA - FORQUILHINHA, no uso de suas atribuições legais e de acordo com art.139 da Lei Federal nº 8.069 Estatuto da Criança e Adolescente e Lei Municipal nº 2414 de 04 de Abril de 2019 e Lei nº 1076 de 13 de Maio de 1996 e suas futuras alterações, torna público, no uso de suas atribuições legais </w:t>
      </w:r>
      <w:r w:rsidRPr="00D44044">
        <w:rPr>
          <w:b/>
          <w:sz w:val="24"/>
          <w:szCs w:val="24"/>
        </w:rPr>
        <w:t>torna público</w:t>
      </w:r>
      <w:r w:rsidRPr="00D44044">
        <w:rPr>
          <w:sz w:val="24"/>
          <w:szCs w:val="24"/>
        </w:rPr>
        <w:t xml:space="preserve"> o edital de publicação com a data, horário e regras da prova objetiva do Edital 01/2019 do Processo de Escolha do Conselho Tutelar, de acordo com as seguintes disposições deste Edital e seus anexos.</w:t>
      </w:r>
    </w:p>
    <w:p w:rsidR="004819DA" w:rsidRPr="00D44044" w:rsidRDefault="004819DA" w:rsidP="004819DA">
      <w:pPr>
        <w:pStyle w:val="PSTextoParagrafo"/>
        <w:spacing w:before="0"/>
        <w:rPr>
          <w:sz w:val="24"/>
          <w:szCs w:val="24"/>
        </w:rPr>
      </w:pPr>
    </w:p>
    <w:p w:rsidR="004819DA" w:rsidRPr="00D44044" w:rsidRDefault="004819DA" w:rsidP="004819DA">
      <w:pPr>
        <w:pStyle w:val="PSTitulo1"/>
        <w:tabs>
          <w:tab w:val="clear" w:pos="360"/>
        </w:tabs>
        <w:rPr>
          <w:sz w:val="24"/>
          <w:szCs w:val="24"/>
        </w:rPr>
      </w:pPr>
      <w:r w:rsidRPr="00D44044">
        <w:rPr>
          <w:sz w:val="24"/>
          <w:szCs w:val="24"/>
        </w:rPr>
        <w:t>DATA, LOCAL E HORÁRIO DA PROVA OBJETIVA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Ficam </w:t>
      </w:r>
      <w:r w:rsidRPr="00D44044">
        <w:rPr>
          <w:b/>
          <w:sz w:val="24"/>
          <w:szCs w:val="24"/>
        </w:rPr>
        <w:t>CONVOCADOS</w:t>
      </w:r>
      <w:r w:rsidRPr="00D44044">
        <w:rPr>
          <w:sz w:val="24"/>
          <w:szCs w:val="24"/>
        </w:rPr>
        <w:t xml:space="preserve"> os candidatos com inscrição Deferida neste certame, para comparecerem no dia </w:t>
      </w:r>
      <w:r w:rsidRPr="00D44044">
        <w:rPr>
          <w:b/>
          <w:sz w:val="24"/>
          <w:szCs w:val="24"/>
        </w:rPr>
        <w:t>28 de Julho de 2019</w:t>
      </w:r>
      <w:r w:rsidRPr="00D44044">
        <w:rPr>
          <w:sz w:val="24"/>
          <w:szCs w:val="24"/>
        </w:rPr>
        <w:t>, para a realização da Prova Escrita, no seguinte local e horário abaixo:</w:t>
      </w:r>
    </w:p>
    <w:p w:rsidR="004819DA" w:rsidRPr="00D44044" w:rsidRDefault="004819DA" w:rsidP="004819DA">
      <w:pPr>
        <w:pStyle w:val="PSSub-Item"/>
        <w:numPr>
          <w:ilvl w:val="0"/>
          <w:numId w:val="0"/>
        </w:numPr>
        <w:spacing w:beforeLines="0"/>
        <w:ind w:left="567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421"/>
        <w:gridCol w:w="1965"/>
      </w:tblGrid>
      <w:tr w:rsidR="004819DA" w:rsidRPr="00D44044" w:rsidTr="00986FE5">
        <w:trPr>
          <w:trHeight w:val="592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4819DA" w:rsidRPr="00D44044" w:rsidRDefault="004819DA" w:rsidP="00986FE5">
            <w:pPr>
              <w:pStyle w:val="PSTabelasTitulo"/>
              <w:spacing w:before="0" w:after="0"/>
              <w:jc w:val="left"/>
              <w:rPr>
                <w:sz w:val="24"/>
                <w:szCs w:val="24"/>
              </w:rPr>
            </w:pPr>
            <w:r w:rsidRPr="00D44044">
              <w:rPr>
                <w:sz w:val="24"/>
                <w:szCs w:val="24"/>
              </w:rPr>
              <w:t>LOCAL / ENDEREÇO</w:t>
            </w:r>
          </w:p>
        </w:tc>
      </w:tr>
      <w:tr w:rsidR="004819DA" w:rsidRPr="00D44044" w:rsidTr="00986FE5">
        <w:trPr>
          <w:trHeight w:val="374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819DA" w:rsidRPr="00D44044" w:rsidRDefault="004819DA" w:rsidP="00986FE5">
            <w:pPr>
              <w:pStyle w:val="PSTextoParagrafo"/>
              <w:spacing w:before="0"/>
              <w:rPr>
                <w:b/>
                <w:sz w:val="24"/>
                <w:szCs w:val="24"/>
              </w:rPr>
            </w:pPr>
            <w:r w:rsidRPr="00D44044">
              <w:rPr>
                <w:b/>
                <w:sz w:val="24"/>
                <w:szCs w:val="24"/>
              </w:rPr>
              <w:t xml:space="preserve">Escola de Educação Básica Francisco </w:t>
            </w:r>
            <w:proofErr w:type="spellStart"/>
            <w:r w:rsidRPr="00D44044">
              <w:rPr>
                <w:b/>
                <w:sz w:val="24"/>
                <w:szCs w:val="24"/>
              </w:rPr>
              <w:t>Hoepers</w:t>
            </w:r>
            <w:proofErr w:type="spellEnd"/>
            <w:r w:rsidRPr="00D44044">
              <w:rPr>
                <w:b/>
                <w:sz w:val="24"/>
                <w:szCs w:val="24"/>
              </w:rPr>
              <w:t xml:space="preserve"> </w:t>
            </w:r>
          </w:p>
          <w:p w:rsidR="004819DA" w:rsidRPr="00D44044" w:rsidRDefault="004819DA" w:rsidP="00986FE5">
            <w:pPr>
              <w:pStyle w:val="PSTextoParagrafo"/>
              <w:spacing w:before="0"/>
              <w:rPr>
                <w:sz w:val="24"/>
                <w:szCs w:val="24"/>
              </w:rPr>
            </w:pPr>
            <w:r w:rsidRPr="00D44044">
              <w:rPr>
                <w:sz w:val="24"/>
                <w:szCs w:val="24"/>
              </w:rPr>
              <w:t>Rua Bonifácio Back, Bairro Santa Isabel, Forquilhinha / SC</w:t>
            </w:r>
          </w:p>
        </w:tc>
      </w:tr>
      <w:tr w:rsidR="004819DA" w:rsidRPr="00D44044" w:rsidTr="00986FE5">
        <w:trPr>
          <w:trHeight w:val="374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4819DA" w:rsidRPr="00D44044" w:rsidRDefault="004819DA" w:rsidP="00986FE5">
            <w:pPr>
              <w:pStyle w:val="PSTabelasTitulo"/>
              <w:spacing w:before="0" w:after="0"/>
              <w:jc w:val="left"/>
              <w:rPr>
                <w:sz w:val="24"/>
                <w:szCs w:val="24"/>
              </w:rPr>
            </w:pPr>
            <w:r w:rsidRPr="00D44044">
              <w:rPr>
                <w:sz w:val="24"/>
                <w:szCs w:val="24"/>
              </w:rPr>
              <w:t>HORÁRIOS PREVISTOS</w:t>
            </w:r>
          </w:p>
        </w:tc>
      </w:tr>
      <w:tr w:rsidR="004819DA" w:rsidRPr="00D44044" w:rsidTr="00986FE5">
        <w:trPr>
          <w:trHeight w:val="914"/>
        </w:trPr>
        <w:tc>
          <w:tcPr>
            <w:tcW w:w="7797" w:type="dxa"/>
            <w:vAlign w:val="center"/>
          </w:tcPr>
          <w:p w:rsidR="004819DA" w:rsidRPr="00D44044" w:rsidRDefault="004819DA" w:rsidP="00986FE5">
            <w:pPr>
              <w:pStyle w:val="PSTextoParagrafo"/>
              <w:spacing w:before="0"/>
              <w:rPr>
                <w:b/>
                <w:sz w:val="24"/>
                <w:szCs w:val="24"/>
              </w:rPr>
            </w:pPr>
            <w:r w:rsidRPr="00D44044">
              <w:rPr>
                <w:b/>
                <w:sz w:val="24"/>
                <w:szCs w:val="24"/>
              </w:rPr>
              <w:t xml:space="preserve">Fechamento dos portões e início das provas </w:t>
            </w:r>
          </w:p>
          <w:p w:rsidR="004819DA" w:rsidRPr="00D44044" w:rsidRDefault="004819DA" w:rsidP="00986FE5">
            <w:pPr>
              <w:pStyle w:val="PSTextoParagrafo"/>
              <w:spacing w:before="0"/>
              <w:rPr>
                <w:i/>
                <w:sz w:val="24"/>
                <w:szCs w:val="24"/>
              </w:rPr>
            </w:pPr>
            <w:proofErr w:type="spellStart"/>
            <w:r w:rsidRPr="00D44044">
              <w:rPr>
                <w:i/>
                <w:color w:val="7F7F7F" w:themeColor="text1" w:themeTint="80"/>
                <w:sz w:val="24"/>
                <w:szCs w:val="24"/>
              </w:rPr>
              <w:t>Obs</w:t>
            </w:r>
            <w:proofErr w:type="spellEnd"/>
            <w:r w:rsidRPr="00D44044">
              <w:rPr>
                <w:i/>
                <w:color w:val="7F7F7F" w:themeColor="text1" w:themeTint="80"/>
                <w:sz w:val="24"/>
                <w:szCs w:val="24"/>
              </w:rPr>
              <w:t>: Não será permitida, em hipótese alguma, a entrada do candidato a partir deste horário.</w:t>
            </w:r>
          </w:p>
        </w:tc>
        <w:tc>
          <w:tcPr>
            <w:tcW w:w="2126" w:type="dxa"/>
            <w:vAlign w:val="center"/>
          </w:tcPr>
          <w:p w:rsidR="004819DA" w:rsidRPr="00D44044" w:rsidRDefault="004819DA" w:rsidP="00986FE5">
            <w:pPr>
              <w:pStyle w:val="PSTextoParagrafo"/>
              <w:spacing w:before="0"/>
              <w:jc w:val="center"/>
              <w:rPr>
                <w:b/>
                <w:sz w:val="24"/>
                <w:szCs w:val="24"/>
                <w:u w:val="single"/>
              </w:rPr>
            </w:pPr>
            <w:r w:rsidRPr="00D44044">
              <w:rPr>
                <w:b/>
                <w:sz w:val="24"/>
                <w:szCs w:val="24"/>
                <w:u w:val="single"/>
              </w:rPr>
              <w:t>08h:00min</w:t>
            </w:r>
          </w:p>
        </w:tc>
      </w:tr>
    </w:tbl>
    <w:p w:rsidR="004819DA" w:rsidRPr="00D44044" w:rsidRDefault="004819DA" w:rsidP="004819DA">
      <w:pPr>
        <w:pStyle w:val="PSTextoParagrafo"/>
        <w:tabs>
          <w:tab w:val="clear" w:pos="284"/>
        </w:tabs>
        <w:spacing w:before="0"/>
        <w:ind w:left="720"/>
        <w:rPr>
          <w:sz w:val="24"/>
          <w:szCs w:val="24"/>
        </w:rPr>
      </w:pPr>
    </w:p>
    <w:p w:rsidR="004819DA" w:rsidRPr="00D44044" w:rsidRDefault="004819DA" w:rsidP="004819DA">
      <w:pPr>
        <w:pStyle w:val="PSSub-Item"/>
        <w:numPr>
          <w:ilvl w:val="0"/>
          <w:numId w:val="0"/>
        </w:numPr>
        <w:spacing w:beforeLines="0"/>
        <w:ind w:left="567" w:hanging="567"/>
        <w:rPr>
          <w:b/>
          <w:bCs/>
          <w:sz w:val="24"/>
          <w:szCs w:val="24"/>
        </w:rPr>
      </w:pPr>
    </w:p>
    <w:p w:rsidR="004819DA" w:rsidRPr="00D44044" w:rsidRDefault="004819DA" w:rsidP="004819DA">
      <w:pPr>
        <w:pStyle w:val="PSTitulo1"/>
        <w:tabs>
          <w:tab w:val="clear" w:pos="360"/>
        </w:tabs>
        <w:rPr>
          <w:sz w:val="24"/>
          <w:szCs w:val="24"/>
        </w:rPr>
      </w:pPr>
      <w:r w:rsidRPr="00D44044">
        <w:rPr>
          <w:sz w:val="24"/>
          <w:szCs w:val="24"/>
        </w:rPr>
        <w:t>OBSERVAÇÕES E REGRAS DAS PROVAS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 xml:space="preserve">A prova objetiva iniciará logo após o fechamento dos portões e terá duração máxima de </w:t>
      </w:r>
      <w:r w:rsidRPr="00D44044">
        <w:rPr>
          <w:b/>
          <w:sz w:val="24"/>
          <w:szCs w:val="24"/>
        </w:rPr>
        <w:t>02 horas.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 xml:space="preserve">A prova prática seguirá o tempo de realização e até </w:t>
      </w:r>
      <w:r w:rsidRPr="00D44044">
        <w:rPr>
          <w:b/>
          <w:sz w:val="24"/>
          <w:szCs w:val="24"/>
        </w:rPr>
        <w:t>7 minutos por candidato</w:t>
      </w:r>
      <w:r w:rsidRPr="00D44044">
        <w:rPr>
          <w:sz w:val="24"/>
          <w:szCs w:val="24"/>
        </w:rPr>
        <w:t xml:space="preserve"> e será aplicada logo após o término da prova objetiva conforme equipamentos e salas disponíveis.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 xml:space="preserve">Os candidatos deverão chegar ao local das provas com antecedência de no mínimo 30 (trinta) minutos, munidos de caneta esferográfica azul ou preta e documento oficial com foto; 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 xml:space="preserve">É considerado documento oficial: Carteira de Identidade (RG), Carteira de Trabalho e Previdência Social (CTPS), Carteira de Órgão ou Conselho de Classe </w:t>
      </w:r>
      <w:r w:rsidRPr="00D44044">
        <w:rPr>
          <w:sz w:val="24"/>
          <w:szCs w:val="24"/>
        </w:rPr>
        <w:lastRenderedPageBreak/>
        <w:t>(OAB, CRM, CRP. Etc.), Certificado Militar, Carteira Nacional de Habilitação (CNH) com foto e Passaporte.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Para realização da prova objetiva, somente será permitido ao candidato o uso de caneta esferográfica, de material transparente, de tinta azul ou preta, lápis e borracha. 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As provas objetivas terão um prazo mínimo de realização de </w:t>
      </w:r>
      <w:r w:rsidRPr="00D44044">
        <w:rPr>
          <w:b/>
          <w:sz w:val="24"/>
          <w:szCs w:val="24"/>
        </w:rPr>
        <w:t>30 (trinta) minutos</w:t>
      </w:r>
      <w:r w:rsidRPr="00D44044">
        <w:rPr>
          <w:sz w:val="24"/>
          <w:szCs w:val="24"/>
        </w:rPr>
        <w:t>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Após terminar a prova objetiva e entregar ao fiscal, o mesmo deverá permanecer na sala até o término de todos os demais candidatos, para então iniciar os procedimentos da prova prática.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O candidato que, durante a realização da prova teórica, for encontrado e confirmado de posse, de qualquer tipo de relógio, telefone celular, </w:t>
      </w:r>
      <w:proofErr w:type="spellStart"/>
      <w:r w:rsidRPr="00D44044">
        <w:rPr>
          <w:sz w:val="24"/>
          <w:szCs w:val="24"/>
        </w:rPr>
        <w:t>pager</w:t>
      </w:r>
      <w:proofErr w:type="spellEnd"/>
      <w:r w:rsidRPr="00D44044">
        <w:rPr>
          <w:sz w:val="24"/>
          <w:szCs w:val="24"/>
        </w:rPr>
        <w:t xml:space="preserve">, </w:t>
      </w:r>
      <w:proofErr w:type="spellStart"/>
      <w:r w:rsidRPr="00D44044">
        <w:rPr>
          <w:sz w:val="24"/>
          <w:szCs w:val="24"/>
        </w:rPr>
        <w:t>beep</w:t>
      </w:r>
      <w:proofErr w:type="spellEnd"/>
      <w:r w:rsidRPr="00D44044">
        <w:rPr>
          <w:sz w:val="24"/>
          <w:szCs w:val="24"/>
        </w:rPr>
        <w:t xml:space="preserve">, calculadora ou quaisquer outros componentes ou equipamentos eletrônicos, em funcionamento ou não, terá sua prova anulada e, com isso, será automaticamente eliminado do Processo Seletivo. 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Durante a realização das provas será vedado, também, o uso de carteiras, bolsas, livros, revistas, apostilas, resumos, dicionários, cadernos, etc.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>É vedado também o uso de óculos escuros ou de quaisquer acessórios de chapelaria tais como chapéu, boné, gorro ou protetores auriculares ou qualquer outro acessório que cubra as orelhas do candidato.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O candidato que necessitar usar os objetos citados no item anterior deverá apresentar justificativa médica e o(s) objeto(s) será(</w:t>
      </w:r>
      <w:proofErr w:type="spellStart"/>
      <w:r w:rsidRPr="00D44044">
        <w:rPr>
          <w:sz w:val="24"/>
          <w:szCs w:val="24"/>
        </w:rPr>
        <w:t>ão</w:t>
      </w:r>
      <w:proofErr w:type="spellEnd"/>
      <w:r w:rsidRPr="00D44044">
        <w:rPr>
          <w:sz w:val="24"/>
          <w:szCs w:val="24"/>
        </w:rPr>
        <w:t>) verificado(s) e aprovado(s) pela Coordenação.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Cs/>
          <w:sz w:val="24"/>
          <w:szCs w:val="24"/>
        </w:rPr>
      </w:pPr>
      <w:r w:rsidRPr="00D44044">
        <w:rPr>
          <w:bCs/>
          <w:sz w:val="24"/>
          <w:szCs w:val="24"/>
        </w:rPr>
        <w:t>A Equipe Organizadora do Processo Seletivo não se responsabilizará por perda, roubo ou dano dos referidos materiais e equipamentos de candidatos.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Cs/>
          <w:sz w:val="24"/>
          <w:szCs w:val="24"/>
        </w:rPr>
      </w:pPr>
      <w:r w:rsidRPr="00D44044">
        <w:rPr>
          <w:bCs/>
          <w:sz w:val="24"/>
          <w:szCs w:val="24"/>
        </w:rPr>
        <w:t>A simples posse, mesmo que desligado, ou uso de qualquer material, objeto ou equipamento não permitido, no local da prova, corredor ou banheiros, configura tentativa de fraude e implicarão na exclusão do candidato do Processo Seletivo, sendo atribuída nota zero a sua prova já realizada.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>Será automaticamente ELIMINADO do certame o candidato que, durante a realização da prova: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Usar ou tentar usar meios fraudulentos ou ilegais para a sua realização;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For surpreendido dando ou recebendo auxílio na resolução da prova;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Utilizar-se de anotações, impressos ou qualquer outro material de consulta;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Utilizar-se ou deixar ligados quaisquer equipamentos eletrônicos que permitam o armazenamento ou a comunicação de dados e informações;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Faltar com o devido respeito e cordialidade para com qualquer membro da equipe de aplicação das provas, as autoridades presentes ou demais candidatos;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Afastar-se da sala, a qualquer tempo, sem o acompanhamento de fiscal;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Ausentar-se da sala, durante a prova, portando o Cartão de Respostas;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Não assinar o cartão de respostas (gabarito);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Não assinar as listas de presença.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Descumprir as instruções contidas nos Cadernos de prova teórica e prática;</w:t>
      </w:r>
    </w:p>
    <w:p w:rsidR="004819DA" w:rsidRPr="00D44044" w:rsidRDefault="004819DA" w:rsidP="004819DA">
      <w:pPr>
        <w:pStyle w:val="PSSub-Item"/>
        <w:numPr>
          <w:ilvl w:val="0"/>
          <w:numId w:val="2"/>
        </w:numPr>
        <w:spacing w:beforeLines="0"/>
        <w:ind w:left="851" w:hanging="284"/>
        <w:rPr>
          <w:sz w:val="24"/>
          <w:szCs w:val="24"/>
        </w:rPr>
      </w:pPr>
      <w:r w:rsidRPr="00D44044">
        <w:rPr>
          <w:sz w:val="24"/>
          <w:szCs w:val="24"/>
        </w:rPr>
        <w:t>Perturbar, de qualquer modo, a ordem dos trabalhos.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Cs/>
          <w:sz w:val="24"/>
          <w:szCs w:val="24"/>
        </w:rPr>
      </w:pPr>
      <w:r w:rsidRPr="00D44044">
        <w:rPr>
          <w:bCs/>
          <w:sz w:val="24"/>
          <w:szCs w:val="24"/>
        </w:rPr>
        <w:t xml:space="preserve">Ao concluir a sua prova, o candidato deverá retirar-se imediatamente do local de aplicação da prova sem comunicar-se com os demais candidatos, ficando </w:t>
      </w:r>
      <w:r w:rsidRPr="00D44044">
        <w:rPr>
          <w:bCs/>
          <w:sz w:val="24"/>
          <w:szCs w:val="24"/>
        </w:rPr>
        <w:lastRenderedPageBreak/>
        <w:t>proibido inclusive de permanecer no pátio da escola, ou ligar o celular antes de se retirar da escola.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Será de inteira responsabilidade do candidato o preenchimento correto do cartão de respostas da prova teórica, que será o único documento válido para efeito de correção da mesma.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Não serão computadas as questões não assinaladas da prova teórica, assinaladas a lápis ou caneta de cor diferente da preta ou azul, assim como as questões que contenham mais de uma resposta, emenda ou rasura, ainda que legíveis.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Em hipótese nenhuma haverá substituição do cartão de respostas da prova teórica em caso de erro, rasura ou preenchimento incorreto do candidato conforme instruções contidas no mesmo.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Em hipótese nenhuma haverá segunda chamada para realização das provas teórica e prática, seja qual for o motivo alegado pelo candidato, implicando a ausência na sua eliminação do Processo Seletivo.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Na prova teórica, </w:t>
      </w:r>
      <w:r w:rsidRPr="00D44044">
        <w:rPr>
          <w:b/>
          <w:sz w:val="24"/>
          <w:szCs w:val="24"/>
        </w:rPr>
        <w:t>todos os candidatos</w:t>
      </w:r>
      <w:r w:rsidRPr="00D44044">
        <w:rPr>
          <w:sz w:val="24"/>
          <w:szCs w:val="24"/>
        </w:rPr>
        <w:t xml:space="preserve"> permanecerão no local até a conclusão do último, para após, três candidatos assinarem o termo de recolhimento dos cartões resposta juntamente com os fiscais.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Por razões de ordem técnica e de segurança, a entidade responsável pela elaboração das provas, se reserva ao direito de não fornecer exemplares dos Cadernos de Provas a candidatos ou a outras instituições, mesmo após o encerramento do certame, estando à disposição dos candidatos uma cópia com a comissão do CMDCA para consulta após aplicação da prova.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A lactante que necessitar amamentar durante a realização da prova, poderá fazê-lo em sala reservada, desde que o requeira no momento da inscrição, para adoção das providências necessárias.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A lactante deverá apresentar-se, no respectivo horário para o qual foi convocada, com o acompanhante e a criança, onde deverá obedecer a todos as regras contidas no item 6 deste edital.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Constatando-se, durante a realização da prova, qualquer erro ou equívoco relacionado à edição ou impressão das provas, os organizadores tomarão a providência cabível, podendo inclusive determinar a anulação da questão ou questões afetadas.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Após a entrada na escola onde será realizada a prova, o candidato deverá se dirigir imediatamente para sua sala de realização de prova teórica, ficando vedada a permanência do mesmo nas outras dependências do prédio, salvo para os casos devidamente justificados e autorizados pelos organizadores do certame. 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sz w:val="24"/>
          <w:szCs w:val="24"/>
        </w:rPr>
      </w:pPr>
      <w:r w:rsidRPr="00D44044">
        <w:rPr>
          <w:sz w:val="24"/>
          <w:szCs w:val="24"/>
        </w:rPr>
        <w:t xml:space="preserve">O candidato que não comparecer ao local da prova teórica e/ou prova prática para a realização será considerado automaticamente excluído do processo de eleição; 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>Caberá aos organizadores do certame, decidir sobre ocorrências verificadas durante a realização das provas.</w:t>
      </w:r>
    </w:p>
    <w:p w:rsidR="004819DA" w:rsidRPr="00D44044" w:rsidRDefault="004819DA" w:rsidP="004819DA">
      <w:pPr>
        <w:pStyle w:val="PSSub-Item"/>
        <w:tabs>
          <w:tab w:val="clear" w:pos="360"/>
        </w:tabs>
        <w:spacing w:beforeLines="0"/>
        <w:rPr>
          <w:b/>
          <w:bCs/>
          <w:sz w:val="24"/>
          <w:szCs w:val="24"/>
        </w:rPr>
      </w:pPr>
      <w:r w:rsidRPr="00D44044">
        <w:rPr>
          <w:sz w:val="24"/>
          <w:szCs w:val="24"/>
        </w:rPr>
        <w:t xml:space="preserve">Os organizadores do certame poderão, justificadamente, alterar as normas previstas no </w:t>
      </w:r>
      <w:r w:rsidRPr="00D44044">
        <w:rPr>
          <w:b/>
          <w:sz w:val="24"/>
          <w:szCs w:val="24"/>
        </w:rPr>
        <w:t>ITEM 2</w:t>
      </w:r>
      <w:r w:rsidRPr="00D44044">
        <w:rPr>
          <w:sz w:val="24"/>
          <w:szCs w:val="24"/>
        </w:rPr>
        <w:t xml:space="preserve"> e seus desdobramentos, desde que com a finalidade de preservar o bom andamento do Certame.</w:t>
      </w:r>
    </w:p>
    <w:p w:rsidR="004819DA" w:rsidRPr="00D44044" w:rsidRDefault="004819DA" w:rsidP="004819DA">
      <w:pPr>
        <w:pStyle w:val="PSSub-Item"/>
        <w:numPr>
          <w:ilvl w:val="0"/>
          <w:numId w:val="0"/>
        </w:numPr>
        <w:spacing w:beforeLines="0"/>
        <w:rPr>
          <w:b/>
          <w:bCs/>
          <w:sz w:val="24"/>
          <w:szCs w:val="24"/>
        </w:rPr>
      </w:pPr>
    </w:p>
    <w:p w:rsidR="004819DA" w:rsidRPr="00D44044" w:rsidRDefault="004819DA" w:rsidP="004819DA">
      <w:pPr>
        <w:shd w:val="clear" w:color="auto" w:fill="DDD9C3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19DA" w:rsidRPr="00D44044" w:rsidRDefault="004819DA" w:rsidP="004819DA">
      <w:pPr>
        <w:shd w:val="clear" w:color="auto" w:fill="DDD9C3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044">
        <w:rPr>
          <w:rFonts w:ascii="Arial" w:hAnsi="Arial" w:cs="Arial"/>
          <w:color w:val="000000"/>
          <w:sz w:val="24"/>
          <w:szCs w:val="24"/>
        </w:rPr>
        <w:t>Para mais informações, consultar o I</w:t>
      </w:r>
      <w:r w:rsidRPr="00D44044">
        <w:rPr>
          <w:rFonts w:ascii="Arial" w:hAnsi="Arial" w:cs="Arial"/>
          <w:b/>
          <w:color w:val="000000"/>
          <w:sz w:val="24"/>
          <w:szCs w:val="24"/>
        </w:rPr>
        <w:t>TEM 8</w:t>
      </w:r>
      <w:r w:rsidRPr="00D44044">
        <w:rPr>
          <w:rFonts w:ascii="Arial" w:hAnsi="Arial" w:cs="Arial"/>
          <w:color w:val="000000"/>
          <w:sz w:val="24"/>
          <w:szCs w:val="24"/>
        </w:rPr>
        <w:t xml:space="preserve"> do edital </w:t>
      </w:r>
      <w:r w:rsidRPr="00D44044">
        <w:rPr>
          <w:rFonts w:ascii="Arial" w:hAnsi="Arial" w:cs="Arial"/>
          <w:b/>
          <w:color w:val="000000"/>
          <w:sz w:val="24"/>
          <w:szCs w:val="24"/>
        </w:rPr>
        <w:t xml:space="preserve">01/2019 </w:t>
      </w:r>
      <w:r w:rsidRPr="00D44044">
        <w:rPr>
          <w:rFonts w:ascii="Arial" w:hAnsi="Arial" w:cs="Arial"/>
          <w:color w:val="000000"/>
          <w:sz w:val="24"/>
          <w:szCs w:val="24"/>
        </w:rPr>
        <w:t xml:space="preserve">publicado no endereço </w:t>
      </w:r>
      <w:r w:rsidRPr="00D44044">
        <w:rPr>
          <w:rFonts w:ascii="Arial" w:hAnsi="Arial" w:cs="Arial"/>
          <w:color w:val="000000"/>
          <w:sz w:val="24"/>
          <w:szCs w:val="24"/>
          <w:u w:val="single"/>
        </w:rPr>
        <w:t>www.forquilhinha.sc.gov.br</w:t>
      </w:r>
      <w:r w:rsidRPr="00D44044">
        <w:rPr>
          <w:rFonts w:ascii="Arial" w:hAnsi="Arial" w:cs="Arial"/>
          <w:color w:val="000000"/>
          <w:sz w:val="24"/>
          <w:szCs w:val="24"/>
        </w:rPr>
        <w:t xml:space="preserve"> com suas respectivas retificações.</w:t>
      </w:r>
    </w:p>
    <w:p w:rsidR="004819DA" w:rsidRPr="00D44044" w:rsidRDefault="004819DA" w:rsidP="004819DA">
      <w:pPr>
        <w:shd w:val="clear" w:color="auto" w:fill="DDD9C3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9DA" w:rsidRPr="00D44044" w:rsidRDefault="004819DA" w:rsidP="004819DA">
      <w:pPr>
        <w:pStyle w:val="PSSub-Item"/>
        <w:numPr>
          <w:ilvl w:val="0"/>
          <w:numId w:val="0"/>
        </w:numPr>
        <w:spacing w:beforeLines="0"/>
        <w:rPr>
          <w:b/>
          <w:bCs/>
          <w:sz w:val="24"/>
          <w:szCs w:val="24"/>
        </w:rPr>
      </w:pP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 xml:space="preserve">Forquilhinha/SC, em 23 de julho de 2019. </w:t>
      </w: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LILIAN ARNS</w:t>
      </w:r>
    </w:p>
    <w:p w:rsidR="004819DA" w:rsidRPr="00D44044" w:rsidRDefault="004819DA" w:rsidP="004819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D44044">
        <w:rPr>
          <w:rFonts w:ascii="Arial" w:eastAsia="SimSun" w:hAnsi="Arial" w:cs="Arial"/>
          <w:sz w:val="24"/>
          <w:szCs w:val="24"/>
        </w:rPr>
        <w:t>Presidente do CMDCA</w:t>
      </w:r>
    </w:p>
    <w:p w:rsidR="00474E54" w:rsidRDefault="00474E54"/>
    <w:sectPr w:rsidR="00474E54" w:rsidSect="00937D3A">
      <w:headerReference w:type="default" r:id="rId5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E" w:rsidRDefault="004819DA" w:rsidP="008A43EE">
    <w:pPr>
      <w:pStyle w:val="Cabealho"/>
    </w:pPr>
    <w:r>
      <w:rPr>
        <w:noProof/>
        <w:lang w:eastAsia="pt-BR"/>
      </w:rPr>
      <w:drawing>
        <wp:inline distT="0" distB="0" distL="0" distR="0" wp14:anchorId="36CB24E6" wp14:editId="2A5349F9">
          <wp:extent cx="1152525" cy="1057275"/>
          <wp:effectExtent l="19050" t="0" r="9525" b="0"/>
          <wp:docPr id="1" name="Imagem 6" descr="imagem CMDCA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CMDCA 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3EE" w:rsidRDefault="004819DA" w:rsidP="008A43EE">
    <w:pPr>
      <w:pStyle w:val="Cabealho"/>
      <w:pBdr>
        <w:top w:val="single" w:sz="8" w:space="1" w:color="808080"/>
      </w:pBdr>
      <w:jc w:val="right"/>
    </w:pPr>
    <w:r w:rsidRPr="00C57C0A">
      <w:rPr>
        <w:rFonts w:ascii="Arial" w:hAnsi="Arial" w:cs="Arial"/>
        <w:b/>
        <w:caps/>
        <w:color w:val="666666"/>
        <w:sz w:val="18"/>
        <w:szCs w:val="18"/>
      </w:rPr>
      <w:t>CONSELHO MUNICIPAL DOS DIREITOS DA CRIANÇA E DO ADOLESCENTE DE FORQUILINHA – CMDCA</w:t>
    </w:r>
  </w:p>
  <w:p w:rsidR="008A43EE" w:rsidRDefault="004819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E64"/>
    <w:multiLevelType w:val="multilevel"/>
    <w:tmpl w:val="7C8A3320"/>
    <w:lvl w:ilvl="0">
      <w:start w:val="1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DA"/>
    <w:rsid w:val="00474E54"/>
    <w:rsid w:val="004819DA"/>
    <w:rsid w:val="006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6034-7FC5-44A0-AE96-8B36290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DA"/>
    <w:pPr>
      <w:spacing w:after="160" w:line="259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819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itulo1">
    <w:name w:val="PS Titulo 1"/>
    <w:basedOn w:val="PargrafodaLista"/>
    <w:qFormat/>
    <w:rsid w:val="004819DA"/>
    <w:pPr>
      <w:numPr>
        <w:numId w:val="1"/>
      </w:numPr>
      <w:pBdr>
        <w:bottom w:val="single" w:sz="4" w:space="1" w:color="2F5496" w:themeColor="accent5" w:themeShade="BF"/>
      </w:pBdr>
      <w:tabs>
        <w:tab w:val="num" w:pos="360"/>
        <w:tab w:val="left" w:pos="426"/>
      </w:tabs>
      <w:spacing w:after="0" w:line="240" w:lineRule="auto"/>
      <w:ind w:left="0" w:firstLine="0"/>
      <w:contextualSpacing w:val="0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SSub-Item">
    <w:name w:val="PS Sub-Item"/>
    <w:basedOn w:val="PargrafodaLista"/>
    <w:qFormat/>
    <w:rsid w:val="004819DA"/>
    <w:pPr>
      <w:numPr>
        <w:ilvl w:val="1"/>
        <w:numId w:val="1"/>
      </w:numPr>
      <w:tabs>
        <w:tab w:val="num" w:pos="360"/>
      </w:tabs>
      <w:autoSpaceDE w:val="0"/>
      <w:autoSpaceDN w:val="0"/>
      <w:adjustRightInd w:val="0"/>
      <w:spacing w:beforeLines="60" w:after="0" w:line="240" w:lineRule="auto"/>
      <w:ind w:left="567" w:hanging="567"/>
      <w:contextualSpacing w:val="0"/>
      <w:jc w:val="both"/>
    </w:pPr>
    <w:rPr>
      <w:rFonts w:ascii="Arial" w:eastAsia="Times New Roman" w:hAnsi="Arial" w:cs="Arial"/>
      <w:lang w:eastAsia="pt-BR"/>
    </w:rPr>
  </w:style>
  <w:style w:type="paragraph" w:customStyle="1" w:styleId="PSTextoParagrafo">
    <w:name w:val="PS Texto Paragrafo"/>
    <w:basedOn w:val="Normal"/>
    <w:qFormat/>
    <w:rsid w:val="004819DA"/>
    <w:pPr>
      <w:tabs>
        <w:tab w:val="left" w:pos="284"/>
      </w:tabs>
      <w:spacing w:before="120"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PSTabelasTitulo">
    <w:name w:val="PS Tabelas Titulo"/>
    <w:basedOn w:val="Normal"/>
    <w:qFormat/>
    <w:rsid w:val="004819DA"/>
    <w:pPr>
      <w:tabs>
        <w:tab w:val="left" w:pos="284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SSub-Item2">
    <w:name w:val="PS Sub-Item 2"/>
    <w:basedOn w:val="PSSub-Item"/>
    <w:qFormat/>
    <w:rsid w:val="004819DA"/>
    <w:pPr>
      <w:numPr>
        <w:ilvl w:val="2"/>
      </w:numPr>
      <w:tabs>
        <w:tab w:val="num" w:pos="360"/>
      </w:tabs>
      <w:ind w:left="709"/>
    </w:pPr>
  </w:style>
  <w:style w:type="paragraph" w:styleId="Cabealho">
    <w:name w:val="header"/>
    <w:basedOn w:val="Normal"/>
    <w:link w:val="CabealhoChar"/>
    <w:rsid w:val="00481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19DA"/>
    <w:rPr>
      <w:rFonts w:asciiTheme="minorHAnsi" w:eastAsiaTheme="minorEastAsia" w:hAnsiTheme="minorHAnsi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8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procuradoria</cp:lastModifiedBy>
  <cp:revision>1</cp:revision>
  <dcterms:created xsi:type="dcterms:W3CDTF">2019-07-23T16:23:00Z</dcterms:created>
  <dcterms:modified xsi:type="dcterms:W3CDTF">2019-07-23T16:27:00Z</dcterms:modified>
</cp:coreProperties>
</file>